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92E093" w14:textId="1ED997EF" w:rsidR="00F54B6C" w:rsidRPr="00925888" w:rsidRDefault="00F54B6C" w:rsidP="00F54B6C">
      <w:pPr>
        <w:tabs>
          <w:tab w:val="right" w:pos="10000"/>
        </w:tabs>
        <w:spacing w:after="0"/>
        <w:jc w:val="both"/>
        <w:rPr>
          <w:rStyle w:val="Emphasis"/>
          <w:rFonts w:cstheme="minorHAnsi"/>
          <w:b/>
          <w:i w:val="0"/>
          <w:sz w:val="24"/>
        </w:rPr>
      </w:pPr>
      <w:r w:rsidRPr="00925888">
        <w:rPr>
          <w:rStyle w:val="Emphasis"/>
          <w:rFonts w:cstheme="minorHAnsi"/>
          <w:b/>
          <w:i w:val="0"/>
          <w:sz w:val="24"/>
        </w:rPr>
        <w:t>3GPP TSG RAN W</w:t>
      </w:r>
      <w:r w:rsidR="00F761CE">
        <w:rPr>
          <w:rStyle w:val="Emphasis"/>
          <w:rFonts w:cstheme="minorHAnsi"/>
          <w:b/>
          <w:i w:val="0"/>
          <w:sz w:val="24"/>
        </w:rPr>
        <w:t>G1 #10</w:t>
      </w:r>
      <w:r w:rsidR="007200A1">
        <w:rPr>
          <w:rStyle w:val="Emphasis"/>
          <w:rFonts w:cstheme="minorHAnsi"/>
          <w:b/>
          <w:i w:val="0"/>
          <w:sz w:val="24"/>
        </w:rPr>
        <w:t>6</w:t>
      </w:r>
      <w:r w:rsidR="006613C6">
        <w:rPr>
          <w:rStyle w:val="Emphasis"/>
          <w:rFonts w:cstheme="minorHAnsi"/>
          <w:b/>
          <w:i w:val="0"/>
          <w:sz w:val="24"/>
        </w:rPr>
        <w:t>-bis-</w:t>
      </w:r>
      <w:r w:rsidRPr="00925888">
        <w:rPr>
          <w:rStyle w:val="Emphasis"/>
          <w:rFonts w:cstheme="minorHAnsi"/>
          <w:b/>
          <w:i w:val="0"/>
          <w:sz w:val="24"/>
        </w:rPr>
        <w:t xml:space="preserve">e                                          </w:t>
      </w:r>
      <w:r w:rsidRPr="00925888">
        <w:rPr>
          <w:rFonts w:cstheme="minorHAnsi"/>
        </w:rPr>
        <w:t xml:space="preserve"> </w:t>
      </w:r>
      <w:r w:rsidR="00F502B1">
        <w:rPr>
          <w:rFonts w:cstheme="minorHAnsi"/>
        </w:rPr>
        <w:t xml:space="preserve">  </w:t>
      </w:r>
      <w:r w:rsidR="006613C6" w:rsidRPr="006613C6">
        <w:rPr>
          <w:rFonts w:cstheme="minorHAnsi"/>
          <w:b/>
          <w:iCs/>
          <w:sz w:val="24"/>
        </w:rPr>
        <w:t>R1-2109572</w:t>
      </w:r>
    </w:p>
    <w:p w14:paraId="4DBE60C9" w14:textId="72F414E5" w:rsidR="00F54B6C" w:rsidRPr="00925888" w:rsidRDefault="00F502B1" w:rsidP="00F54B6C">
      <w:pPr>
        <w:tabs>
          <w:tab w:val="right" w:pos="9630"/>
        </w:tabs>
        <w:spacing w:after="0"/>
        <w:jc w:val="both"/>
        <w:rPr>
          <w:rStyle w:val="Emphasis"/>
          <w:rFonts w:cstheme="minorHAnsi"/>
          <w:b/>
          <w:sz w:val="24"/>
        </w:rPr>
      </w:pPr>
      <w:r w:rsidRPr="00F502B1">
        <w:rPr>
          <w:rStyle w:val="Emphasis"/>
          <w:rFonts w:eastAsia="PMingLiU" w:cstheme="minorHAnsi"/>
          <w:b/>
          <w:i w:val="0"/>
          <w:sz w:val="24"/>
        </w:rPr>
        <w:t xml:space="preserve">e-Meeting, </w:t>
      </w:r>
      <w:r w:rsidR="00B674FB">
        <w:rPr>
          <w:rStyle w:val="Emphasis"/>
          <w:rFonts w:eastAsia="PMingLiU" w:cstheme="minorHAnsi"/>
          <w:b/>
          <w:i w:val="0"/>
          <w:sz w:val="24"/>
        </w:rPr>
        <w:t>Oct</w:t>
      </w:r>
      <w:r w:rsidRPr="00F502B1">
        <w:rPr>
          <w:rStyle w:val="Emphasis"/>
          <w:rFonts w:eastAsia="PMingLiU" w:cstheme="minorHAnsi"/>
          <w:b/>
          <w:i w:val="0"/>
          <w:sz w:val="24"/>
        </w:rPr>
        <w:t xml:space="preserve"> </w:t>
      </w:r>
      <w:r w:rsidR="00B674FB">
        <w:rPr>
          <w:rStyle w:val="Emphasis"/>
          <w:rFonts w:eastAsia="PMingLiU" w:cstheme="minorHAnsi"/>
          <w:b/>
          <w:i w:val="0"/>
          <w:sz w:val="24"/>
        </w:rPr>
        <w:t>11</w:t>
      </w:r>
      <w:r w:rsidRPr="00F502B1">
        <w:rPr>
          <w:rStyle w:val="Emphasis"/>
          <w:rFonts w:eastAsia="PMingLiU" w:cstheme="minorHAnsi"/>
          <w:b/>
          <w:i w:val="0"/>
          <w:sz w:val="24"/>
        </w:rPr>
        <w:t xml:space="preserve">th – </w:t>
      </w:r>
      <w:r w:rsidR="00B674FB">
        <w:rPr>
          <w:rStyle w:val="Emphasis"/>
          <w:rFonts w:eastAsia="PMingLiU" w:cstheme="minorHAnsi"/>
          <w:b/>
          <w:i w:val="0"/>
          <w:sz w:val="24"/>
        </w:rPr>
        <w:t>Oct</w:t>
      </w:r>
      <w:r w:rsidRPr="00F502B1">
        <w:rPr>
          <w:rStyle w:val="Emphasis"/>
          <w:rFonts w:eastAsia="PMingLiU" w:cstheme="minorHAnsi"/>
          <w:b/>
          <w:i w:val="0"/>
          <w:sz w:val="24"/>
        </w:rPr>
        <w:t xml:space="preserve"> </w:t>
      </w:r>
      <w:r w:rsidR="00B674FB">
        <w:rPr>
          <w:rStyle w:val="Emphasis"/>
          <w:rFonts w:eastAsia="PMingLiU" w:cstheme="minorHAnsi"/>
          <w:b/>
          <w:i w:val="0"/>
          <w:sz w:val="24"/>
        </w:rPr>
        <w:t>19</w:t>
      </w:r>
      <w:r w:rsidRPr="00F502B1">
        <w:rPr>
          <w:rStyle w:val="Emphasis"/>
          <w:rFonts w:eastAsia="PMingLiU" w:cstheme="minorHAnsi"/>
          <w:b/>
          <w:i w:val="0"/>
          <w:sz w:val="24"/>
        </w:rPr>
        <w:t>th, 2021</w:t>
      </w:r>
    </w:p>
    <w:p w14:paraId="5A2B6F46" w14:textId="77777777" w:rsidR="003620A4" w:rsidRPr="00925888" w:rsidRDefault="003620A4" w:rsidP="003620A4">
      <w:pPr>
        <w:pStyle w:val="Header"/>
        <w:rPr>
          <w:rFonts w:asciiTheme="minorHAnsi" w:eastAsia="PMingLiU" w:hAnsiTheme="minorHAnsi" w:cstheme="minorHAnsi"/>
          <w:sz w:val="24"/>
          <w:highlight w:val="yellow"/>
          <w:lang w:eastAsia="zh-TW"/>
        </w:rPr>
      </w:pPr>
    </w:p>
    <w:p w14:paraId="6352570E" w14:textId="17B3FD6C" w:rsidR="00FB1EA3" w:rsidRPr="00925888" w:rsidRDefault="003620A4" w:rsidP="003620A4">
      <w:pPr>
        <w:ind w:left="1985" w:hanging="1985"/>
        <w:rPr>
          <w:rFonts w:cstheme="minorHAnsi"/>
          <w:b/>
          <w:bCs/>
        </w:rPr>
      </w:pPr>
      <w:r w:rsidRPr="00925888">
        <w:rPr>
          <w:rFonts w:cstheme="minorHAnsi"/>
          <w:b/>
          <w:bCs/>
        </w:rPr>
        <w:t>Agenda Item:</w:t>
      </w:r>
      <w:r w:rsidR="00FB1EA3" w:rsidRPr="00925888">
        <w:rPr>
          <w:rFonts w:cstheme="minorHAnsi"/>
          <w:b/>
          <w:bCs/>
        </w:rPr>
        <w:tab/>
      </w:r>
      <w:r w:rsidR="00F54B6C" w:rsidRPr="00925888">
        <w:rPr>
          <w:rFonts w:cstheme="minorHAnsi"/>
          <w:b/>
          <w:bCs/>
        </w:rPr>
        <w:t>8.8.1.3</w:t>
      </w:r>
    </w:p>
    <w:p w14:paraId="68E291BE" w14:textId="77777777" w:rsidR="0034111C" w:rsidRPr="00925888" w:rsidRDefault="0034111C" w:rsidP="00A37145">
      <w:pPr>
        <w:ind w:left="1985" w:hanging="1985"/>
        <w:rPr>
          <w:rFonts w:cstheme="minorHAnsi"/>
          <w:b/>
          <w:bCs/>
        </w:rPr>
      </w:pPr>
      <w:r w:rsidRPr="00925888">
        <w:rPr>
          <w:rFonts w:cstheme="minorHAnsi"/>
          <w:b/>
          <w:bCs/>
        </w:rPr>
        <w:t>Source:</w:t>
      </w:r>
      <w:r w:rsidRPr="00925888">
        <w:rPr>
          <w:rFonts w:cstheme="minorHAnsi"/>
          <w:b/>
          <w:bCs/>
        </w:rPr>
        <w:tab/>
      </w:r>
      <w:r w:rsidR="002E58D2" w:rsidRPr="00925888">
        <w:rPr>
          <w:rFonts w:cstheme="minorHAnsi"/>
          <w:b/>
          <w:bCs/>
        </w:rPr>
        <w:t>MediaTek Inc.</w:t>
      </w:r>
    </w:p>
    <w:p w14:paraId="56FE282C" w14:textId="5996FFD8" w:rsidR="00174EC2" w:rsidRPr="00925888" w:rsidRDefault="0034111C" w:rsidP="007A4FCF">
      <w:pPr>
        <w:ind w:left="1985" w:hanging="1985"/>
        <w:rPr>
          <w:rFonts w:cstheme="minorHAnsi"/>
          <w:b/>
          <w:bCs/>
        </w:rPr>
      </w:pPr>
      <w:r w:rsidRPr="00925888">
        <w:rPr>
          <w:rFonts w:cstheme="minorHAnsi"/>
          <w:b/>
          <w:bCs/>
        </w:rPr>
        <w:t>Title:</w:t>
      </w:r>
      <w:r w:rsidRPr="00925888">
        <w:rPr>
          <w:rFonts w:cstheme="minorHAnsi"/>
          <w:b/>
          <w:bCs/>
        </w:rPr>
        <w:tab/>
      </w:r>
      <w:r w:rsidR="00F54B6C" w:rsidRPr="00925888">
        <w:rPr>
          <w:rFonts w:cstheme="minorHAnsi"/>
          <w:b/>
          <w:bCs/>
        </w:rPr>
        <w:t xml:space="preserve">Discussion on joint channel estimation for </w:t>
      </w:r>
      <w:r w:rsidR="00FB1BDD">
        <w:rPr>
          <w:rFonts w:cstheme="minorHAnsi"/>
          <w:b/>
          <w:bCs/>
        </w:rPr>
        <w:t xml:space="preserve">multi-slot </w:t>
      </w:r>
      <w:r w:rsidR="00F54B6C" w:rsidRPr="00925888">
        <w:rPr>
          <w:rFonts w:cstheme="minorHAnsi"/>
          <w:b/>
          <w:bCs/>
        </w:rPr>
        <w:t>PUSCH</w:t>
      </w:r>
    </w:p>
    <w:p w14:paraId="6F580D61" w14:textId="77777777" w:rsidR="0034111C" w:rsidRPr="00925888" w:rsidRDefault="0034111C" w:rsidP="007A4FCF">
      <w:pPr>
        <w:ind w:left="1985" w:hanging="1985"/>
        <w:rPr>
          <w:rFonts w:cstheme="minorHAnsi"/>
          <w:b/>
          <w:bCs/>
        </w:rPr>
      </w:pPr>
      <w:r w:rsidRPr="00925888">
        <w:rPr>
          <w:rFonts w:cstheme="minorHAnsi"/>
          <w:b/>
          <w:bCs/>
        </w:rPr>
        <w:t>Document for:</w:t>
      </w:r>
      <w:r w:rsidRPr="00925888">
        <w:rPr>
          <w:rFonts w:cstheme="minorHAnsi"/>
          <w:b/>
          <w:bCs/>
        </w:rPr>
        <w:tab/>
      </w:r>
      <w:r w:rsidRPr="00925888">
        <w:rPr>
          <w:rFonts w:cstheme="minorHAnsi"/>
          <w:b/>
          <w:bCs/>
        </w:rPr>
        <w:tab/>
      </w:r>
      <w:r w:rsidR="00E85D04" w:rsidRPr="00925888">
        <w:rPr>
          <w:rFonts w:cstheme="minorHAnsi"/>
          <w:b/>
          <w:bCs/>
        </w:rPr>
        <w:t>Discussion</w:t>
      </w:r>
    </w:p>
    <w:p w14:paraId="20062393" w14:textId="56A5F983" w:rsidR="0034111C" w:rsidRPr="00925888" w:rsidRDefault="00EE7FA7" w:rsidP="008F1284">
      <w:pPr>
        <w:pStyle w:val="Heading1"/>
        <w:numPr>
          <w:ilvl w:val="0"/>
          <w:numId w:val="1"/>
        </w:numPr>
        <w:rPr>
          <w:rFonts w:asciiTheme="minorHAnsi" w:hAnsiTheme="minorHAnsi" w:cstheme="minorHAnsi"/>
        </w:rPr>
      </w:pPr>
      <w:r w:rsidRPr="00925888">
        <w:rPr>
          <w:rFonts w:asciiTheme="minorHAnsi" w:hAnsiTheme="minorHAnsi" w:cstheme="minorHAnsi"/>
        </w:rPr>
        <w:t>Introduction</w:t>
      </w:r>
    </w:p>
    <w:p w14:paraId="5CDF65CF" w14:textId="6134580A" w:rsidR="008873E8" w:rsidRPr="00925888" w:rsidRDefault="00FB1BDD" w:rsidP="00BD754F">
      <w:pPr>
        <w:pStyle w:val="Default"/>
        <w:jc w:val="both"/>
        <w:rPr>
          <w:rFonts w:asciiTheme="minorHAnsi" w:eastAsiaTheme="minorEastAsia" w:hAnsiTheme="minorHAnsi" w:cstheme="minorHAnsi"/>
          <w:color w:val="auto"/>
          <w:sz w:val="22"/>
          <w:szCs w:val="22"/>
        </w:rPr>
      </w:pPr>
      <w:r w:rsidRPr="00FB1BDD">
        <w:rPr>
          <w:rFonts w:asciiTheme="minorHAnsi" w:eastAsiaTheme="minorEastAsia" w:hAnsiTheme="minorHAnsi" w:cstheme="minorHAnsi"/>
          <w:color w:val="auto"/>
          <w:sz w:val="22"/>
          <w:szCs w:val="22"/>
        </w:rPr>
        <w:t xml:space="preserve">In the last RAN1 meeting (R1-105-e), the implementation </w:t>
      </w:r>
      <w:r>
        <w:rPr>
          <w:rFonts w:asciiTheme="minorHAnsi" w:eastAsiaTheme="minorEastAsia" w:hAnsiTheme="minorHAnsi" w:cstheme="minorHAnsi"/>
          <w:color w:val="auto"/>
          <w:sz w:val="22"/>
          <w:szCs w:val="22"/>
        </w:rPr>
        <w:t>of Joint channel estimation for multi-slot PUSCH</w:t>
      </w:r>
      <w:r w:rsidRPr="00FB1BDD">
        <w:rPr>
          <w:rFonts w:asciiTheme="minorHAnsi" w:eastAsiaTheme="minorEastAsia" w:hAnsiTheme="minorHAnsi" w:cstheme="minorHAnsi"/>
          <w:color w:val="auto"/>
          <w:sz w:val="22"/>
          <w:szCs w:val="22"/>
        </w:rPr>
        <w:t xml:space="preserve"> </w:t>
      </w:r>
      <w:r w:rsidR="00302188">
        <w:rPr>
          <w:rFonts w:asciiTheme="minorHAnsi" w:eastAsiaTheme="minorEastAsia" w:hAnsiTheme="minorHAnsi" w:cstheme="minorHAnsi"/>
          <w:color w:val="auto"/>
          <w:sz w:val="22"/>
          <w:szCs w:val="22"/>
        </w:rPr>
        <w:t xml:space="preserve">(JCE) </w:t>
      </w:r>
      <w:r w:rsidRPr="00FB1BDD">
        <w:rPr>
          <w:rFonts w:asciiTheme="minorHAnsi" w:eastAsiaTheme="minorEastAsia" w:hAnsiTheme="minorHAnsi" w:cstheme="minorHAnsi"/>
          <w:color w:val="auto"/>
          <w:sz w:val="22"/>
          <w:szCs w:val="22"/>
        </w:rPr>
        <w:t>was debated and the f</w:t>
      </w:r>
      <w:r>
        <w:rPr>
          <w:rFonts w:asciiTheme="minorHAnsi" w:eastAsiaTheme="minorEastAsia" w:hAnsiTheme="minorHAnsi" w:cstheme="minorHAnsi"/>
          <w:color w:val="auto"/>
          <w:sz w:val="22"/>
          <w:szCs w:val="22"/>
        </w:rPr>
        <w:t>ew</w:t>
      </w:r>
      <w:r w:rsidRPr="00FB1BDD">
        <w:rPr>
          <w:rFonts w:asciiTheme="minorHAnsi" w:eastAsiaTheme="minorEastAsia" w:hAnsiTheme="minorHAnsi" w:cstheme="minorHAnsi"/>
          <w:color w:val="auto"/>
          <w:sz w:val="22"/>
          <w:szCs w:val="22"/>
        </w:rPr>
        <w:t xml:space="preserve"> agreements</w:t>
      </w:r>
      <w:r>
        <w:rPr>
          <w:rFonts w:asciiTheme="minorHAnsi" w:eastAsiaTheme="minorEastAsia" w:hAnsiTheme="minorHAnsi" w:cstheme="minorHAnsi"/>
          <w:color w:val="auto"/>
          <w:sz w:val="22"/>
          <w:szCs w:val="22"/>
        </w:rPr>
        <w:t xml:space="preserve"> were</w:t>
      </w:r>
      <w:r w:rsidRPr="00FB1BDD">
        <w:rPr>
          <w:rFonts w:asciiTheme="minorHAnsi" w:eastAsiaTheme="minorEastAsia" w:hAnsiTheme="minorHAnsi" w:cstheme="minorHAnsi"/>
          <w:color w:val="auto"/>
          <w:sz w:val="22"/>
          <w:szCs w:val="22"/>
        </w:rPr>
        <w:t xml:space="preserve"> made [1]</w:t>
      </w:r>
      <w:r>
        <w:rPr>
          <w:rFonts w:asciiTheme="minorHAnsi" w:eastAsiaTheme="minorEastAsia" w:hAnsiTheme="minorHAnsi" w:cstheme="minorHAnsi"/>
          <w:color w:val="auto"/>
          <w:sz w:val="22"/>
          <w:szCs w:val="22"/>
        </w:rPr>
        <w:t xml:space="preserve">. </w:t>
      </w:r>
      <w:r w:rsidR="00D13156" w:rsidRPr="00925888">
        <w:rPr>
          <w:rFonts w:asciiTheme="minorHAnsi" w:eastAsiaTheme="minorEastAsia" w:hAnsiTheme="minorHAnsi" w:cstheme="minorHAnsi"/>
          <w:color w:val="auto"/>
          <w:sz w:val="22"/>
          <w:szCs w:val="22"/>
        </w:rPr>
        <w:t>In this paper, we p</w:t>
      </w:r>
      <w:r w:rsidR="00386737" w:rsidRPr="00925888">
        <w:rPr>
          <w:rFonts w:asciiTheme="minorHAnsi" w:eastAsiaTheme="minorEastAsia" w:hAnsiTheme="minorHAnsi" w:cstheme="minorHAnsi"/>
          <w:color w:val="auto"/>
          <w:sz w:val="22"/>
          <w:szCs w:val="22"/>
        </w:rPr>
        <w:t>rovide</w:t>
      </w:r>
      <w:r w:rsidR="00E56B24" w:rsidRPr="00925888">
        <w:rPr>
          <w:rFonts w:asciiTheme="minorHAnsi" w:eastAsiaTheme="minorEastAsia" w:hAnsiTheme="minorHAnsi" w:cstheme="minorHAnsi"/>
          <w:color w:val="auto"/>
          <w:sz w:val="22"/>
          <w:szCs w:val="22"/>
        </w:rPr>
        <w:t xml:space="preserve"> </w:t>
      </w:r>
      <w:r w:rsidR="00E15151" w:rsidRPr="00925888">
        <w:rPr>
          <w:rFonts w:asciiTheme="minorHAnsi" w:eastAsiaTheme="minorEastAsia" w:hAnsiTheme="minorHAnsi" w:cstheme="minorHAnsi"/>
          <w:color w:val="auto"/>
          <w:sz w:val="22"/>
          <w:szCs w:val="22"/>
        </w:rPr>
        <w:t xml:space="preserve">our views on </w:t>
      </w:r>
      <w:r w:rsidR="00CA3708">
        <w:rPr>
          <w:rFonts w:asciiTheme="minorHAnsi" w:eastAsiaTheme="minorEastAsia" w:hAnsiTheme="minorHAnsi" w:cstheme="minorHAnsi"/>
          <w:color w:val="auto"/>
          <w:sz w:val="22"/>
          <w:szCs w:val="22"/>
        </w:rPr>
        <w:t>the</w:t>
      </w:r>
      <w:r w:rsidR="004667EC" w:rsidRPr="00925888">
        <w:rPr>
          <w:rFonts w:asciiTheme="minorHAnsi" w:eastAsiaTheme="minorEastAsia" w:hAnsiTheme="minorHAnsi" w:cstheme="minorHAnsi"/>
          <w:color w:val="auto"/>
          <w:sz w:val="22"/>
          <w:szCs w:val="22"/>
        </w:rPr>
        <w:t xml:space="preserve"> open issues to enable the joint channel estimation.</w:t>
      </w:r>
    </w:p>
    <w:p w14:paraId="15570B2A" w14:textId="6725008E" w:rsidR="00486D1A" w:rsidRDefault="00974EE8" w:rsidP="008F1284">
      <w:pPr>
        <w:pStyle w:val="Heading1"/>
        <w:numPr>
          <w:ilvl w:val="0"/>
          <w:numId w:val="1"/>
        </w:numPr>
        <w:rPr>
          <w:rFonts w:asciiTheme="minorHAnsi" w:hAnsiTheme="minorHAnsi" w:cstheme="minorHAnsi"/>
        </w:rPr>
      </w:pPr>
      <w:r w:rsidRPr="00925888">
        <w:rPr>
          <w:rFonts w:asciiTheme="minorHAnsi" w:hAnsiTheme="minorHAnsi" w:cstheme="minorHAnsi"/>
        </w:rPr>
        <w:t>Discussion</w:t>
      </w:r>
    </w:p>
    <w:p w14:paraId="10C38C15" w14:textId="77777777" w:rsidR="00371BDF" w:rsidRDefault="00371BDF" w:rsidP="00371BDF">
      <w:pPr>
        <w:rPr>
          <w:rFonts w:ascii="宋体" w:eastAsia="宋体" w:hAnsi="宋体" w:cs="Times New Roman"/>
          <w:color w:val="000000"/>
          <w:sz w:val="24"/>
          <w:szCs w:val="24"/>
          <w:lang w:eastAsia="zh-CN"/>
        </w:rPr>
      </w:pPr>
      <w:r>
        <w:rPr>
          <w:rFonts w:ascii="Times New Roman" w:hAnsi="Times New Roman"/>
          <w:b/>
          <w:bCs/>
          <w:color w:val="000000"/>
          <w:shd w:val="clear" w:color="auto" w:fill="808000"/>
          <w:lang w:eastAsia="zh-CN"/>
        </w:rPr>
        <w:t>Working assumption:</w:t>
      </w:r>
    </w:p>
    <w:p w14:paraId="38E1B9AD" w14:textId="77777777" w:rsidR="00371BDF" w:rsidRDefault="00371BDF" w:rsidP="00371BDF">
      <w:pPr>
        <w:spacing w:after="120" w:line="252" w:lineRule="atLeast"/>
        <w:rPr>
          <w:color w:val="000000"/>
          <w:lang w:eastAsia="zh-CN"/>
        </w:rPr>
      </w:pPr>
      <w:r>
        <w:rPr>
          <w:rFonts w:ascii="Times New Roman" w:hAnsi="Times New Roman"/>
          <w:color w:val="FF0000"/>
          <w:lang w:val="en-GB" w:eastAsia="zh-CN"/>
        </w:rPr>
        <w:t>For joint channel estimation for PUSCH repetition type A of PUSCH repetitions of the same TB,</w:t>
      </w:r>
      <w:r>
        <w:rPr>
          <w:rFonts w:ascii="Times New Roman" w:hAnsi="Times New Roman"/>
          <w:color w:val="000000"/>
          <w:lang w:val="en-GB" w:eastAsia="zh-CN"/>
        </w:rPr>
        <w:t> all the repetitions are covered by one or multiple consecutive/non-consecutive </w:t>
      </w:r>
      <w:r>
        <w:rPr>
          <w:rFonts w:ascii="Times New Roman" w:hAnsi="Times New Roman"/>
          <w:color w:val="000000"/>
          <w:lang w:eastAsia="zh-CN"/>
        </w:rPr>
        <w:t>configured</w:t>
      </w:r>
      <w:r>
        <w:rPr>
          <w:rFonts w:ascii="Times New Roman" w:hAnsi="Times New Roman"/>
          <w:color w:val="000000"/>
          <w:lang w:val="en-GB" w:eastAsia="zh-CN"/>
        </w:rPr>
        <w:t> TDWs.</w:t>
      </w:r>
    </w:p>
    <w:p w14:paraId="469CF697" w14:textId="77777777" w:rsidR="00371BDF" w:rsidRDefault="00371BDF" w:rsidP="00371BDF">
      <w:pPr>
        <w:spacing w:after="120" w:line="252" w:lineRule="atLeast"/>
        <w:ind w:left="420" w:hanging="420"/>
        <w:jc w:val="both"/>
        <w:rPr>
          <w:color w:val="000000"/>
          <w:lang w:eastAsia="zh-CN"/>
        </w:rPr>
      </w:pPr>
      <w:r>
        <w:rPr>
          <w:rFonts w:ascii="Wingdings" w:hAnsi="Wingdings"/>
          <w:color w:val="FF0000"/>
          <w:lang w:val="en-GB" w:eastAsia="zh-CN"/>
        </w:rPr>
        <w:t></w:t>
      </w:r>
      <w:r>
        <w:rPr>
          <w:rFonts w:ascii="Times New Roman" w:hAnsi="Times New Roman"/>
          <w:color w:val="FF0000"/>
          <w:sz w:val="14"/>
          <w:szCs w:val="14"/>
          <w:lang w:val="en-GB" w:eastAsia="zh-CN"/>
        </w:rPr>
        <w:t>   </w:t>
      </w:r>
      <w:r>
        <w:rPr>
          <w:rFonts w:ascii="Times New Roman" w:hAnsi="Times New Roman"/>
          <w:color w:val="FF0000"/>
          <w:lang w:val="en-GB" w:eastAsia="zh-CN"/>
        </w:rPr>
        <w:t>Each configured TDW consists of one or multiple consecutive physical slots.</w:t>
      </w:r>
    </w:p>
    <w:p w14:paraId="0EACE968" w14:textId="77777777" w:rsidR="00371BDF" w:rsidRDefault="00371BDF" w:rsidP="00371BDF">
      <w:pPr>
        <w:spacing w:after="120" w:line="252" w:lineRule="atLeast"/>
        <w:ind w:left="420" w:hanging="420"/>
        <w:jc w:val="both"/>
        <w:rPr>
          <w:color w:val="000000"/>
          <w:lang w:eastAsia="zh-CN"/>
        </w:rPr>
      </w:pPr>
      <w:r>
        <w:rPr>
          <w:rFonts w:ascii="Wingdings" w:hAnsi="Wingdings"/>
          <w:color w:val="FF0000"/>
          <w:lang w:val="en-GB" w:eastAsia="zh-CN"/>
        </w:rPr>
        <w:t></w:t>
      </w:r>
      <w:r>
        <w:rPr>
          <w:rFonts w:ascii="Times New Roman" w:hAnsi="Times New Roman"/>
          <w:color w:val="FF0000"/>
          <w:sz w:val="14"/>
          <w:szCs w:val="14"/>
          <w:lang w:val="en-GB" w:eastAsia="zh-CN"/>
        </w:rPr>
        <w:t>   </w:t>
      </w:r>
      <w:r>
        <w:rPr>
          <w:rFonts w:ascii="Times New Roman" w:hAnsi="Times New Roman"/>
          <w:color w:val="000000"/>
          <w:lang w:val="en-GB" w:eastAsia="zh-CN"/>
        </w:rPr>
        <w:t>The window length </w:t>
      </w:r>
      <w:r>
        <w:rPr>
          <w:rFonts w:ascii="Times New Roman" w:hAnsi="Times New Roman"/>
          <w:i/>
          <w:iCs/>
          <w:color w:val="000000"/>
          <w:lang w:val="en-GB" w:eastAsia="zh-CN"/>
        </w:rPr>
        <w:t>L</w:t>
      </w:r>
      <w:r>
        <w:rPr>
          <w:rFonts w:ascii="Times New Roman" w:hAnsi="Times New Roman"/>
          <w:color w:val="000000"/>
          <w:lang w:val="en-GB" w:eastAsia="zh-CN"/>
        </w:rPr>
        <w:t> of the configured TDW(s) can be explicitly configured with a single value</w:t>
      </w:r>
      <w:r>
        <w:rPr>
          <w:rFonts w:ascii="Times New Roman" w:hAnsi="Times New Roman"/>
          <w:strike/>
          <w:color w:val="FF0000"/>
          <w:lang w:val="en-GB" w:eastAsia="zh-CN"/>
        </w:rPr>
        <w:t> and </w:t>
      </w:r>
      <w:r>
        <w:rPr>
          <w:rFonts w:ascii="Times New Roman" w:hAnsi="Times New Roman"/>
          <w:i/>
          <w:iCs/>
          <w:strike/>
          <w:color w:val="FF0000"/>
          <w:lang w:val="en-GB" w:eastAsia="zh-CN"/>
        </w:rPr>
        <w:t>L</w:t>
      </w:r>
      <w:r>
        <w:rPr>
          <w:rFonts w:ascii="Times New Roman" w:hAnsi="Times New Roman"/>
          <w:strike/>
          <w:color w:val="FF0000"/>
          <w:lang w:val="en-GB" w:eastAsia="zh-CN"/>
        </w:rPr>
        <w:t> </w:t>
      </w:r>
      <w:r>
        <w:rPr>
          <w:rFonts w:ascii="Times New Roman" w:hAnsi="Times New Roman"/>
          <w:strike/>
          <w:color w:val="FF0000"/>
          <w:lang w:eastAsia="zh-CN"/>
        </w:rPr>
        <w:t>is no longer than the maximum duration</w:t>
      </w:r>
      <w:r>
        <w:rPr>
          <w:rFonts w:ascii="Times New Roman" w:hAnsi="Times New Roman"/>
          <w:color w:val="FF0000"/>
          <w:lang w:eastAsia="zh-CN"/>
        </w:rPr>
        <w:t>.</w:t>
      </w:r>
    </w:p>
    <w:p w14:paraId="1A82F980" w14:textId="77777777" w:rsidR="00371BDF" w:rsidRDefault="00371BDF" w:rsidP="00371BDF">
      <w:pPr>
        <w:spacing w:after="120" w:line="252" w:lineRule="atLeast"/>
        <w:ind w:left="840" w:hanging="420"/>
        <w:jc w:val="both"/>
        <w:rPr>
          <w:color w:val="000000"/>
          <w:lang w:eastAsia="zh-CN"/>
        </w:rPr>
      </w:pPr>
      <w:r>
        <w:rPr>
          <w:rFonts w:hint="eastAsia"/>
          <w:color w:val="FF0000"/>
          <w:lang w:eastAsia="zh-CN"/>
        </w:rPr>
        <w:t>‐</w:t>
      </w:r>
      <w:r>
        <w:rPr>
          <w:rFonts w:ascii="Times New Roman" w:hAnsi="Times New Roman"/>
          <w:color w:val="FF0000"/>
          <w:sz w:val="14"/>
          <w:szCs w:val="14"/>
          <w:lang w:eastAsia="zh-CN"/>
        </w:rPr>
        <w:t>   </w:t>
      </w:r>
      <w:r>
        <w:rPr>
          <w:rFonts w:ascii="Times New Roman" w:hAnsi="Times New Roman"/>
          <w:color w:val="FF0000"/>
          <w:lang w:eastAsia="zh-CN"/>
        </w:rPr>
        <w:t>FFS: The maximum value of </w:t>
      </w:r>
      <w:r>
        <w:rPr>
          <w:rFonts w:ascii="Times New Roman" w:hAnsi="Times New Roman"/>
          <w:i/>
          <w:iCs/>
          <w:color w:val="FF0000"/>
          <w:lang w:eastAsia="zh-CN"/>
        </w:rPr>
        <w:t>L</w:t>
      </w:r>
      <w:r>
        <w:rPr>
          <w:rFonts w:ascii="Times New Roman" w:hAnsi="Times New Roman"/>
          <w:color w:val="FF0000"/>
          <w:lang w:eastAsia="zh-CN"/>
        </w:rPr>
        <w:t> </w:t>
      </w:r>
      <w:r>
        <w:rPr>
          <w:rFonts w:ascii="Times New Roman" w:hAnsi="Times New Roman"/>
          <w:strike/>
          <w:color w:val="FF0000"/>
          <w:lang w:eastAsia="zh-CN"/>
        </w:rPr>
        <w:t>is the duration of all repetitions</w:t>
      </w:r>
    </w:p>
    <w:p w14:paraId="2DAA5840" w14:textId="77777777" w:rsidR="00371BDF" w:rsidRDefault="00371BDF" w:rsidP="00371BDF">
      <w:pPr>
        <w:spacing w:after="120" w:line="252" w:lineRule="atLeast"/>
        <w:ind w:left="840" w:hanging="420"/>
        <w:jc w:val="both"/>
        <w:rPr>
          <w:color w:val="000000"/>
          <w:lang w:eastAsia="zh-CN"/>
        </w:rPr>
      </w:pPr>
      <w:r>
        <w:rPr>
          <w:rFonts w:hint="eastAsia"/>
          <w:color w:val="FF0000"/>
          <w:lang w:eastAsia="zh-CN"/>
        </w:rPr>
        <w:t>‐</w:t>
      </w:r>
      <w:r>
        <w:rPr>
          <w:rFonts w:ascii="Times New Roman" w:hAnsi="Times New Roman"/>
          <w:color w:val="FF0000"/>
          <w:sz w:val="14"/>
          <w:szCs w:val="14"/>
          <w:lang w:eastAsia="zh-CN"/>
        </w:rPr>
        <w:t>   </w:t>
      </w:r>
      <w:r>
        <w:rPr>
          <w:rFonts w:ascii="Times New Roman" w:hAnsi="Times New Roman"/>
          <w:color w:val="FF0000"/>
          <w:lang w:eastAsia="zh-CN"/>
        </w:rPr>
        <w:t>FFS: Solutions to error propagation issue </w:t>
      </w:r>
      <w:r>
        <w:rPr>
          <w:rFonts w:ascii="Times New Roman" w:hAnsi="Times New Roman"/>
          <w:color w:val="0000FF"/>
          <w:lang w:eastAsia="zh-CN"/>
        </w:rPr>
        <w:t>if </w:t>
      </w:r>
      <w:r>
        <w:rPr>
          <w:rFonts w:ascii="Times New Roman" w:hAnsi="Times New Roman"/>
          <w:strike/>
          <w:color w:val="FF0000"/>
          <w:lang w:eastAsia="zh-CN"/>
        </w:rPr>
        <w:t>for</w:t>
      </w:r>
      <w:r>
        <w:rPr>
          <w:rFonts w:ascii="Times New Roman" w:hAnsi="Times New Roman"/>
          <w:color w:val="FF0000"/>
          <w:lang w:eastAsia="zh-CN"/>
        </w:rPr>
        <w:t> </w:t>
      </w:r>
      <w:r>
        <w:rPr>
          <w:rFonts w:ascii="Times New Roman" w:hAnsi="Times New Roman"/>
          <w:i/>
          <w:iCs/>
          <w:color w:val="FF0000"/>
          <w:lang w:val="en-GB" w:eastAsia="zh-CN"/>
        </w:rPr>
        <w:t>L</w:t>
      </w:r>
      <w:r>
        <w:rPr>
          <w:rFonts w:ascii="Times New Roman" w:hAnsi="Times New Roman"/>
          <w:color w:val="FF0000"/>
          <w:lang w:val="en-GB" w:eastAsia="zh-CN"/>
        </w:rPr>
        <w:t> </w:t>
      </w:r>
      <w:r>
        <w:rPr>
          <w:rFonts w:ascii="Times New Roman" w:hAnsi="Times New Roman"/>
          <w:color w:val="0000FF"/>
          <w:lang w:val="en-GB" w:eastAsia="zh-CN"/>
        </w:rPr>
        <w:t>is </w:t>
      </w:r>
      <w:r>
        <w:rPr>
          <w:rFonts w:ascii="Times New Roman" w:hAnsi="Times New Roman"/>
          <w:color w:val="FF0000"/>
          <w:lang w:eastAsia="zh-CN"/>
        </w:rPr>
        <w:t>longer than the maximum duration is to be discussed further.</w:t>
      </w:r>
    </w:p>
    <w:p w14:paraId="7B08644A" w14:textId="77777777" w:rsidR="00371BDF" w:rsidRDefault="00371BDF" w:rsidP="00371BDF">
      <w:pPr>
        <w:spacing w:after="120" w:line="252" w:lineRule="atLeast"/>
        <w:ind w:left="840" w:hanging="420"/>
        <w:jc w:val="both"/>
        <w:rPr>
          <w:color w:val="000000"/>
          <w:lang w:eastAsia="zh-CN"/>
        </w:rPr>
      </w:pPr>
      <w:r>
        <w:rPr>
          <w:rFonts w:hint="eastAsia"/>
          <w:color w:val="FF0000"/>
          <w:lang w:eastAsia="zh-CN"/>
        </w:rPr>
        <w:t>‐</w:t>
      </w:r>
      <w:r>
        <w:rPr>
          <w:rFonts w:ascii="Times New Roman" w:hAnsi="Times New Roman"/>
          <w:color w:val="FF0000"/>
          <w:sz w:val="14"/>
          <w:szCs w:val="14"/>
          <w:lang w:eastAsia="zh-CN"/>
        </w:rPr>
        <w:t>   </w:t>
      </w:r>
      <w:r>
        <w:rPr>
          <w:rFonts w:ascii="Times New Roman" w:hAnsi="Times New Roman"/>
          <w:color w:val="FF0000"/>
          <w:lang w:eastAsia="zh-CN"/>
        </w:rPr>
        <w:t>FFS: The window length </w:t>
      </w:r>
      <w:r>
        <w:rPr>
          <w:rFonts w:ascii="Times New Roman" w:hAnsi="Times New Roman"/>
          <w:i/>
          <w:iCs/>
          <w:color w:val="FF0000"/>
          <w:lang w:eastAsia="zh-CN"/>
        </w:rPr>
        <w:t>L</w:t>
      </w:r>
      <w:r>
        <w:rPr>
          <w:rFonts w:ascii="Times New Roman" w:hAnsi="Times New Roman"/>
          <w:color w:val="FF0000"/>
          <w:lang w:eastAsia="zh-CN"/>
        </w:rPr>
        <w:t> is configured per UL BWP</w:t>
      </w:r>
    </w:p>
    <w:p w14:paraId="0BFC714F" w14:textId="77777777" w:rsidR="00371BDF" w:rsidRDefault="00371BDF" w:rsidP="00371BDF">
      <w:pPr>
        <w:spacing w:after="120" w:line="252" w:lineRule="atLeast"/>
        <w:ind w:left="420" w:hanging="420"/>
        <w:jc w:val="both"/>
        <w:rPr>
          <w:color w:val="000000"/>
          <w:lang w:eastAsia="zh-CN"/>
        </w:rPr>
      </w:pPr>
      <w:r>
        <w:rPr>
          <w:rFonts w:ascii="Wingdings" w:hAnsi="Wingdings"/>
          <w:color w:val="000000"/>
          <w:lang w:val="en-GB" w:eastAsia="zh-CN"/>
        </w:rPr>
        <w:t></w:t>
      </w:r>
      <w:r>
        <w:rPr>
          <w:rFonts w:ascii="Times New Roman" w:hAnsi="Times New Roman"/>
          <w:color w:val="000000"/>
          <w:sz w:val="14"/>
          <w:szCs w:val="14"/>
          <w:lang w:val="en-GB" w:eastAsia="zh-CN"/>
        </w:rPr>
        <w:t>   </w:t>
      </w:r>
      <w:r>
        <w:rPr>
          <w:rFonts w:ascii="Times New Roman" w:hAnsi="Times New Roman"/>
          <w:color w:val="000000"/>
          <w:lang w:val="en-GB" w:eastAsia="zh-CN"/>
        </w:rPr>
        <w:t>The start of the first configured TDW is the first PUSCH transmission</w:t>
      </w:r>
    </w:p>
    <w:p w14:paraId="6E939214" w14:textId="77777777" w:rsidR="00371BDF" w:rsidRDefault="00371BDF" w:rsidP="00371BDF">
      <w:pPr>
        <w:spacing w:after="120" w:line="252" w:lineRule="atLeast"/>
        <w:ind w:left="840" w:hanging="420"/>
        <w:jc w:val="both"/>
        <w:rPr>
          <w:color w:val="000000"/>
          <w:lang w:eastAsia="zh-CN"/>
        </w:rPr>
      </w:pPr>
      <w:r>
        <w:rPr>
          <w:rFonts w:hint="eastAsia"/>
          <w:color w:val="000000"/>
          <w:lang w:eastAsia="zh-CN"/>
        </w:rPr>
        <w:t>‐</w:t>
      </w:r>
      <w:r>
        <w:rPr>
          <w:rFonts w:ascii="Times New Roman" w:hAnsi="Times New Roman"/>
          <w:color w:val="000000"/>
          <w:sz w:val="14"/>
          <w:szCs w:val="14"/>
          <w:lang w:val="en-GB" w:eastAsia="zh-CN"/>
        </w:rPr>
        <w:t>   </w:t>
      </w:r>
      <w:r>
        <w:rPr>
          <w:rFonts w:ascii="Times New Roman" w:hAnsi="Times New Roman"/>
          <w:color w:val="000000"/>
          <w:lang w:val="en-GB" w:eastAsia="zh-CN"/>
        </w:rPr>
        <w:t>FFS: The first available slot/symbol, or the first physical slot/symbol for the first PUSCH transmission.</w:t>
      </w:r>
    </w:p>
    <w:p w14:paraId="2E57F3D1" w14:textId="77777777" w:rsidR="00371BDF" w:rsidRDefault="00371BDF" w:rsidP="00371BDF">
      <w:pPr>
        <w:spacing w:after="120" w:line="252" w:lineRule="atLeast"/>
        <w:ind w:left="420" w:hanging="420"/>
        <w:jc w:val="both"/>
        <w:rPr>
          <w:color w:val="000000"/>
          <w:lang w:eastAsia="zh-CN"/>
        </w:rPr>
      </w:pPr>
      <w:r>
        <w:rPr>
          <w:rFonts w:ascii="Wingdings" w:hAnsi="Wingdings"/>
          <w:color w:val="000000"/>
          <w:lang w:val="en-GB" w:eastAsia="zh-CN"/>
        </w:rPr>
        <w:t></w:t>
      </w:r>
      <w:r>
        <w:rPr>
          <w:rFonts w:ascii="Times New Roman" w:hAnsi="Times New Roman"/>
          <w:color w:val="000000"/>
          <w:sz w:val="14"/>
          <w:szCs w:val="14"/>
          <w:lang w:val="en-GB" w:eastAsia="zh-CN"/>
        </w:rPr>
        <w:t>   </w:t>
      </w:r>
      <w:r>
        <w:rPr>
          <w:rFonts w:ascii="Times New Roman" w:hAnsi="Times New Roman"/>
          <w:color w:val="000000"/>
          <w:lang w:eastAsia="zh-CN"/>
        </w:rPr>
        <w:t>The start of other </w:t>
      </w:r>
      <w:r>
        <w:rPr>
          <w:rFonts w:ascii="Times New Roman" w:hAnsi="Times New Roman"/>
          <w:color w:val="000000"/>
          <w:lang w:val="en-GB" w:eastAsia="zh-CN"/>
        </w:rPr>
        <w:t>configured</w:t>
      </w:r>
      <w:r>
        <w:rPr>
          <w:rFonts w:ascii="Times New Roman" w:hAnsi="Times New Roman"/>
          <w:color w:val="000000"/>
          <w:lang w:eastAsia="zh-CN"/>
        </w:rPr>
        <w:t> TDWs can be implicitly determined prior to first repetition.</w:t>
      </w:r>
    </w:p>
    <w:p w14:paraId="7F3157C9" w14:textId="77777777" w:rsidR="00371BDF" w:rsidRDefault="00371BDF" w:rsidP="00371BDF">
      <w:pPr>
        <w:spacing w:after="120" w:line="252" w:lineRule="atLeast"/>
        <w:ind w:left="840" w:hanging="420"/>
        <w:jc w:val="both"/>
        <w:rPr>
          <w:color w:val="000000"/>
          <w:lang w:eastAsia="zh-CN"/>
        </w:rPr>
      </w:pPr>
      <w:r>
        <w:rPr>
          <w:rFonts w:hint="eastAsia"/>
          <w:color w:val="000000"/>
          <w:lang w:eastAsia="zh-CN"/>
        </w:rPr>
        <w:t>‐</w:t>
      </w:r>
      <w:r>
        <w:rPr>
          <w:rFonts w:ascii="Times New Roman" w:hAnsi="Times New Roman"/>
          <w:color w:val="000000"/>
          <w:sz w:val="14"/>
          <w:szCs w:val="14"/>
          <w:lang w:eastAsia="zh-CN"/>
        </w:rPr>
        <w:t>   </w:t>
      </w:r>
      <w:r>
        <w:rPr>
          <w:rFonts w:ascii="Times New Roman" w:hAnsi="Times New Roman"/>
          <w:color w:val="FF0000"/>
          <w:lang w:eastAsia="zh-CN"/>
        </w:rPr>
        <w:t>FFS: </w:t>
      </w:r>
      <w:r>
        <w:rPr>
          <w:rFonts w:ascii="Times New Roman" w:hAnsi="Times New Roman"/>
          <w:color w:val="000000"/>
          <w:lang w:eastAsia="zh-CN"/>
        </w:rPr>
        <w:t>The configured TDWs are consecutive for paired spectrum</w:t>
      </w:r>
      <w:r>
        <w:rPr>
          <w:rFonts w:ascii="Times New Roman" w:hAnsi="Times New Roman"/>
          <w:color w:val="FF0000"/>
          <w:lang w:eastAsia="zh-CN"/>
        </w:rPr>
        <w:t>/SUL band</w:t>
      </w:r>
    </w:p>
    <w:p w14:paraId="2301C96F" w14:textId="77777777" w:rsidR="00371BDF" w:rsidRDefault="00371BDF" w:rsidP="00371BDF">
      <w:pPr>
        <w:spacing w:after="120" w:line="252" w:lineRule="atLeast"/>
        <w:ind w:left="840" w:hanging="420"/>
        <w:jc w:val="both"/>
        <w:rPr>
          <w:color w:val="000000"/>
          <w:lang w:eastAsia="zh-CN"/>
        </w:rPr>
      </w:pPr>
      <w:r>
        <w:rPr>
          <w:rFonts w:hint="eastAsia"/>
          <w:color w:val="FF0000"/>
          <w:lang w:eastAsia="zh-CN"/>
        </w:rPr>
        <w:t>‐</w:t>
      </w:r>
      <w:r>
        <w:rPr>
          <w:rFonts w:ascii="Times New Roman" w:hAnsi="Times New Roman"/>
          <w:color w:val="FF0000"/>
          <w:sz w:val="14"/>
          <w:szCs w:val="14"/>
          <w:lang w:eastAsia="zh-CN"/>
        </w:rPr>
        <w:t>   </w:t>
      </w:r>
      <w:r>
        <w:rPr>
          <w:rFonts w:ascii="Times New Roman" w:hAnsi="Times New Roman"/>
          <w:color w:val="FF0000"/>
          <w:lang w:eastAsia="zh-CN"/>
        </w:rPr>
        <w:t>FFS: The start of the configured TDWs for unpaired spectrum is implicitly determined based on semi-static DL/UL configuration.</w:t>
      </w:r>
    </w:p>
    <w:p w14:paraId="16997447" w14:textId="77777777" w:rsidR="00371BDF" w:rsidRDefault="00371BDF" w:rsidP="00371BDF">
      <w:pPr>
        <w:spacing w:after="120" w:line="252" w:lineRule="atLeast"/>
        <w:ind w:left="420" w:hanging="420"/>
        <w:jc w:val="both"/>
        <w:rPr>
          <w:color w:val="000000"/>
          <w:lang w:eastAsia="zh-CN"/>
        </w:rPr>
      </w:pPr>
      <w:r>
        <w:rPr>
          <w:rFonts w:ascii="Wingdings" w:hAnsi="Wingdings"/>
          <w:color w:val="000000"/>
          <w:lang w:val="en-GB" w:eastAsia="zh-CN"/>
        </w:rPr>
        <w:t></w:t>
      </w:r>
      <w:r>
        <w:rPr>
          <w:rFonts w:ascii="Times New Roman" w:hAnsi="Times New Roman"/>
          <w:color w:val="000000"/>
          <w:sz w:val="14"/>
          <w:szCs w:val="14"/>
          <w:lang w:val="en-GB" w:eastAsia="zh-CN"/>
        </w:rPr>
        <w:t>   </w:t>
      </w:r>
      <w:r>
        <w:rPr>
          <w:rFonts w:ascii="Times New Roman" w:hAnsi="Times New Roman"/>
          <w:color w:val="000000"/>
          <w:lang w:val="en-GB" w:eastAsia="zh-CN"/>
        </w:rPr>
        <w:t>The end of the last configured TDW is the end of the last PUSCH transmission.</w:t>
      </w:r>
    </w:p>
    <w:p w14:paraId="180E902D" w14:textId="77777777" w:rsidR="00371BDF" w:rsidRDefault="00371BDF" w:rsidP="00371BDF">
      <w:pPr>
        <w:spacing w:after="120" w:line="252" w:lineRule="atLeast"/>
        <w:ind w:left="840" w:hanging="420"/>
        <w:jc w:val="both"/>
        <w:rPr>
          <w:color w:val="000000"/>
          <w:lang w:eastAsia="zh-CN"/>
        </w:rPr>
      </w:pPr>
      <w:r>
        <w:rPr>
          <w:rFonts w:hint="eastAsia"/>
          <w:color w:val="000000"/>
          <w:lang w:eastAsia="zh-CN"/>
        </w:rPr>
        <w:t>‐</w:t>
      </w:r>
      <w:r>
        <w:rPr>
          <w:rFonts w:ascii="Times New Roman" w:hAnsi="Times New Roman"/>
          <w:color w:val="000000"/>
          <w:sz w:val="14"/>
          <w:szCs w:val="14"/>
          <w:lang w:val="en-GB" w:eastAsia="zh-CN"/>
        </w:rPr>
        <w:t>   </w:t>
      </w:r>
      <w:r>
        <w:rPr>
          <w:rFonts w:ascii="Times New Roman" w:hAnsi="Times New Roman"/>
          <w:color w:val="000000"/>
          <w:lang w:val="en-GB" w:eastAsia="zh-CN"/>
        </w:rPr>
        <w:t>FFS: The end of the configured TDW is the last available slot/symbol, or the last physical slot/symbol for the last PUSCH transmission.</w:t>
      </w:r>
    </w:p>
    <w:p w14:paraId="01BDD3A9" w14:textId="77777777" w:rsidR="00371BDF" w:rsidRDefault="00371BDF" w:rsidP="00371BDF">
      <w:pPr>
        <w:spacing w:after="120" w:line="252" w:lineRule="atLeast"/>
        <w:ind w:left="420" w:hanging="420"/>
        <w:jc w:val="both"/>
        <w:rPr>
          <w:color w:val="000000"/>
          <w:lang w:eastAsia="zh-CN"/>
        </w:rPr>
      </w:pPr>
      <w:r>
        <w:rPr>
          <w:rFonts w:ascii="Wingdings" w:hAnsi="Wingdings"/>
          <w:color w:val="000000"/>
          <w:lang w:val="en-GB" w:eastAsia="zh-CN"/>
        </w:rPr>
        <w:t></w:t>
      </w:r>
      <w:r>
        <w:rPr>
          <w:rFonts w:ascii="Times New Roman" w:hAnsi="Times New Roman"/>
          <w:color w:val="000000"/>
          <w:sz w:val="14"/>
          <w:szCs w:val="14"/>
          <w:lang w:val="en-GB" w:eastAsia="zh-CN"/>
        </w:rPr>
        <w:t>   </w:t>
      </w:r>
      <w:r>
        <w:rPr>
          <w:rFonts w:ascii="Times New Roman" w:hAnsi="Times New Roman"/>
          <w:color w:val="000000"/>
          <w:lang w:val="en-GB" w:eastAsia="zh-CN"/>
        </w:rPr>
        <w:t>Within one configured TDW, one or multiple actual TDWs can be implicitly determined:</w:t>
      </w:r>
    </w:p>
    <w:p w14:paraId="6A6DAE8B" w14:textId="77777777" w:rsidR="00371BDF" w:rsidRDefault="00371BDF" w:rsidP="00371BDF">
      <w:pPr>
        <w:spacing w:after="120" w:line="252" w:lineRule="atLeast"/>
        <w:ind w:left="840" w:hanging="420"/>
        <w:jc w:val="both"/>
        <w:rPr>
          <w:color w:val="000000"/>
          <w:lang w:eastAsia="zh-CN"/>
        </w:rPr>
      </w:pPr>
      <w:r>
        <w:rPr>
          <w:rFonts w:hint="eastAsia"/>
          <w:color w:val="000000"/>
          <w:lang w:eastAsia="zh-CN"/>
        </w:rPr>
        <w:t>‐</w:t>
      </w:r>
      <w:r>
        <w:rPr>
          <w:rFonts w:ascii="Times New Roman" w:hAnsi="Times New Roman"/>
          <w:color w:val="000000"/>
          <w:sz w:val="14"/>
          <w:szCs w:val="14"/>
          <w:lang w:val="en-GB" w:eastAsia="zh-CN"/>
        </w:rPr>
        <w:t>   </w:t>
      </w:r>
      <w:r>
        <w:rPr>
          <w:rFonts w:ascii="Times New Roman" w:hAnsi="Times New Roman"/>
          <w:color w:val="000000"/>
          <w:lang w:val="en-GB" w:eastAsia="zh-CN"/>
        </w:rPr>
        <w:t>The start of the first actual TDW is the first PUSCH transmission within the configured TDW.</w:t>
      </w:r>
    </w:p>
    <w:p w14:paraId="0CCDF487" w14:textId="77777777" w:rsidR="00371BDF" w:rsidRDefault="00371BDF" w:rsidP="00371BDF">
      <w:pPr>
        <w:spacing w:after="120" w:line="252" w:lineRule="atLeast"/>
        <w:ind w:left="1260" w:hanging="420"/>
        <w:jc w:val="both"/>
        <w:rPr>
          <w:color w:val="000000"/>
          <w:lang w:eastAsia="zh-CN"/>
        </w:rPr>
      </w:pPr>
      <w:r>
        <w:rPr>
          <w:rFonts w:ascii="Courier New" w:hAnsi="Courier New" w:cs="Courier New"/>
          <w:color w:val="000000"/>
          <w:lang w:val="en-GB" w:eastAsia="zh-CN"/>
        </w:rPr>
        <w:t>o</w:t>
      </w:r>
      <w:r>
        <w:rPr>
          <w:rFonts w:ascii="Times New Roman" w:hAnsi="Times New Roman"/>
          <w:color w:val="000000"/>
          <w:sz w:val="14"/>
          <w:szCs w:val="14"/>
          <w:lang w:val="en-GB" w:eastAsia="zh-CN"/>
        </w:rPr>
        <w:t>    </w:t>
      </w:r>
      <w:r>
        <w:rPr>
          <w:rFonts w:ascii="Times New Roman" w:hAnsi="Times New Roman"/>
          <w:color w:val="000000"/>
          <w:lang w:val="en-GB" w:eastAsia="zh-CN"/>
        </w:rPr>
        <w:t>FFS: The first available slot/symbol, or the first physical slot/symbol for the first PUSCH transmission.</w:t>
      </w:r>
    </w:p>
    <w:p w14:paraId="542A83FB" w14:textId="77777777" w:rsidR="00371BDF" w:rsidRDefault="00371BDF" w:rsidP="00371BDF">
      <w:pPr>
        <w:spacing w:after="120" w:line="252" w:lineRule="atLeast"/>
        <w:ind w:left="840" w:hanging="420"/>
        <w:jc w:val="both"/>
        <w:rPr>
          <w:color w:val="000000"/>
          <w:lang w:eastAsia="zh-CN"/>
        </w:rPr>
      </w:pPr>
      <w:r>
        <w:rPr>
          <w:rFonts w:hint="eastAsia"/>
          <w:color w:val="000000"/>
          <w:lang w:eastAsia="zh-CN"/>
        </w:rPr>
        <w:t>‐</w:t>
      </w:r>
      <w:r>
        <w:rPr>
          <w:rFonts w:ascii="Times New Roman" w:hAnsi="Times New Roman"/>
          <w:color w:val="000000"/>
          <w:sz w:val="14"/>
          <w:szCs w:val="14"/>
          <w:lang w:val="en-GB" w:eastAsia="zh-CN"/>
        </w:rPr>
        <w:t>   </w:t>
      </w:r>
      <w:r>
        <w:rPr>
          <w:rFonts w:ascii="Times New Roman" w:hAnsi="Times New Roman"/>
          <w:color w:val="000000"/>
          <w:lang w:val="en-GB" w:eastAsia="zh-CN"/>
        </w:rPr>
        <w:t>After one actual TDW starts, UE is expected to maintain the power consistency and phase continuity until one of the following conditions is met, then the actual TDW is ended.</w:t>
      </w:r>
    </w:p>
    <w:p w14:paraId="7E162313" w14:textId="77777777" w:rsidR="00371BDF" w:rsidRDefault="00371BDF" w:rsidP="00371BDF">
      <w:pPr>
        <w:spacing w:after="120" w:line="252" w:lineRule="atLeast"/>
        <w:ind w:left="1260" w:hanging="420"/>
        <w:jc w:val="both"/>
        <w:rPr>
          <w:color w:val="000000"/>
          <w:lang w:eastAsia="zh-CN"/>
        </w:rPr>
      </w:pPr>
      <w:r>
        <w:rPr>
          <w:rFonts w:ascii="Courier New" w:hAnsi="Courier New" w:cs="Courier New"/>
          <w:color w:val="000000"/>
          <w:lang w:val="en-GB" w:eastAsia="zh-CN"/>
        </w:rPr>
        <w:t>o</w:t>
      </w:r>
      <w:r>
        <w:rPr>
          <w:rFonts w:ascii="Times New Roman" w:hAnsi="Times New Roman"/>
          <w:color w:val="000000"/>
          <w:sz w:val="14"/>
          <w:szCs w:val="14"/>
          <w:lang w:val="en-GB" w:eastAsia="zh-CN"/>
        </w:rPr>
        <w:t>    </w:t>
      </w:r>
      <w:r>
        <w:rPr>
          <w:rFonts w:ascii="Times New Roman" w:hAnsi="Times New Roman"/>
          <w:color w:val="000000"/>
          <w:lang w:val="en-GB" w:eastAsia="zh-CN"/>
        </w:rPr>
        <w:t>The actual TDW reaches the end of the last PUSCH transmission within the configured TDW.</w:t>
      </w:r>
    </w:p>
    <w:p w14:paraId="324C8983" w14:textId="77777777" w:rsidR="00371BDF" w:rsidRDefault="00371BDF" w:rsidP="00371BDF">
      <w:pPr>
        <w:spacing w:after="120" w:line="252" w:lineRule="atLeast"/>
        <w:ind w:left="1680" w:hanging="420"/>
        <w:jc w:val="both"/>
        <w:rPr>
          <w:color w:val="000000"/>
          <w:lang w:eastAsia="zh-CN"/>
        </w:rPr>
      </w:pPr>
      <w:r>
        <w:rPr>
          <w:rFonts w:ascii="Wingdings" w:hAnsi="Wingdings"/>
          <w:color w:val="000000"/>
          <w:lang w:val="en-GB" w:eastAsia="zh-CN"/>
        </w:rPr>
        <w:lastRenderedPageBreak/>
        <w:t></w:t>
      </w:r>
      <w:r>
        <w:rPr>
          <w:rFonts w:ascii="Times New Roman" w:hAnsi="Times New Roman"/>
          <w:color w:val="000000"/>
          <w:sz w:val="14"/>
          <w:szCs w:val="14"/>
          <w:lang w:val="en-GB" w:eastAsia="zh-CN"/>
        </w:rPr>
        <w:t>  </w:t>
      </w:r>
      <w:r>
        <w:rPr>
          <w:rFonts w:ascii="Times New Roman" w:hAnsi="Times New Roman"/>
          <w:color w:val="000000"/>
          <w:lang w:val="en-GB" w:eastAsia="zh-CN"/>
        </w:rPr>
        <w:t>FFS: The end of the actual TDW is the last available slot/symbol, or the last physical slot/symbol for the last PUSCH transmission.</w:t>
      </w:r>
    </w:p>
    <w:p w14:paraId="3D4438F0" w14:textId="77777777" w:rsidR="00371BDF" w:rsidRDefault="00371BDF" w:rsidP="00371BDF">
      <w:pPr>
        <w:spacing w:after="120" w:line="252" w:lineRule="atLeast"/>
        <w:ind w:left="1260" w:hanging="420"/>
        <w:jc w:val="both"/>
        <w:rPr>
          <w:color w:val="000000"/>
          <w:lang w:eastAsia="zh-CN"/>
        </w:rPr>
      </w:pPr>
      <w:r>
        <w:rPr>
          <w:rFonts w:ascii="Courier New" w:hAnsi="Courier New" w:cs="Courier New"/>
          <w:color w:val="000000"/>
          <w:lang w:val="en-GB" w:eastAsia="zh-CN"/>
        </w:rPr>
        <w:t>o</w:t>
      </w:r>
      <w:r>
        <w:rPr>
          <w:rFonts w:ascii="Times New Roman" w:hAnsi="Times New Roman"/>
          <w:color w:val="000000"/>
          <w:sz w:val="14"/>
          <w:szCs w:val="14"/>
          <w:lang w:val="en-GB" w:eastAsia="zh-CN"/>
        </w:rPr>
        <w:t>    </w:t>
      </w:r>
      <w:r>
        <w:rPr>
          <w:rFonts w:ascii="Times New Roman" w:hAnsi="Times New Roman"/>
          <w:color w:val="000000"/>
          <w:lang w:val="en-GB" w:eastAsia="zh-CN"/>
        </w:rPr>
        <w:t>An event occurs that violates power consistency and phase continuity</w:t>
      </w:r>
    </w:p>
    <w:p w14:paraId="7D491A90" w14:textId="77777777" w:rsidR="00371BDF" w:rsidRDefault="00371BDF" w:rsidP="00371BDF">
      <w:pPr>
        <w:spacing w:after="120" w:line="252" w:lineRule="atLeast"/>
        <w:ind w:left="1680" w:hanging="420"/>
        <w:jc w:val="both"/>
        <w:rPr>
          <w:color w:val="000000"/>
          <w:lang w:eastAsia="zh-CN"/>
        </w:rPr>
      </w:pPr>
      <w:r>
        <w:rPr>
          <w:rFonts w:ascii="Wingdings" w:hAnsi="Wingdings"/>
          <w:color w:val="000000"/>
          <w:lang w:val="en-GB" w:eastAsia="zh-CN"/>
        </w:rPr>
        <w:t></w:t>
      </w:r>
      <w:r>
        <w:rPr>
          <w:rFonts w:ascii="Times New Roman" w:hAnsi="Times New Roman"/>
          <w:color w:val="000000"/>
          <w:sz w:val="14"/>
          <w:szCs w:val="14"/>
          <w:lang w:val="en-GB" w:eastAsia="zh-CN"/>
        </w:rPr>
        <w:t>  </w:t>
      </w:r>
      <w:r>
        <w:rPr>
          <w:rFonts w:ascii="Times New Roman" w:hAnsi="Times New Roman"/>
          <w:color w:val="000000"/>
          <w:lang w:val="en-GB" w:eastAsia="zh-CN"/>
        </w:rPr>
        <w:t>FFS: The events may include e.g., </w:t>
      </w:r>
      <w:r>
        <w:rPr>
          <w:rFonts w:ascii="Times New Roman" w:hAnsi="Times New Roman"/>
          <w:color w:val="FF0000"/>
          <w:lang w:val="en-GB" w:eastAsia="zh-CN"/>
        </w:rPr>
        <w:t>a DL slot based on</w:t>
      </w:r>
      <w:r>
        <w:rPr>
          <w:rFonts w:ascii="Times New Roman" w:hAnsi="Times New Roman"/>
          <w:color w:val="000000"/>
          <w:lang w:val="en-GB" w:eastAsia="zh-CN"/>
        </w:rPr>
        <w:t> DL/UL configuration for unpaired spectrum, </w:t>
      </w:r>
      <w:r>
        <w:rPr>
          <w:rFonts w:ascii="Times New Roman" w:hAnsi="Times New Roman"/>
          <w:color w:val="FF0000"/>
          <w:lang w:val="en-GB" w:eastAsia="zh-CN"/>
        </w:rPr>
        <w:t>the actual TDW reaches the maximum duration,</w:t>
      </w:r>
      <w:r>
        <w:rPr>
          <w:rFonts w:ascii="Times New Roman" w:hAnsi="Times New Roman"/>
          <w:color w:val="000000"/>
          <w:lang w:val="en-GB" w:eastAsia="zh-CN"/>
        </w:rPr>
        <w:t> DL reception/monitoring occasion for unpaired spectrum, high priority transmission, frequency hopping, precoder cycling.</w:t>
      </w:r>
    </w:p>
    <w:p w14:paraId="788CFC2C" w14:textId="77777777" w:rsidR="00371BDF" w:rsidRDefault="00371BDF" w:rsidP="00371BDF">
      <w:pPr>
        <w:spacing w:after="120" w:line="252" w:lineRule="atLeast"/>
        <w:ind w:left="1680" w:hanging="420"/>
        <w:jc w:val="both"/>
        <w:rPr>
          <w:color w:val="000000"/>
          <w:lang w:eastAsia="zh-CN"/>
        </w:rPr>
      </w:pPr>
      <w:r>
        <w:rPr>
          <w:rFonts w:ascii="Wingdings" w:hAnsi="Wingdings"/>
          <w:color w:val="000000"/>
          <w:lang w:val="en-GB" w:eastAsia="zh-CN"/>
        </w:rPr>
        <w:t></w:t>
      </w:r>
      <w:r>
        <w:rPr>
          <w:rFonts w:ascii="Times New Roman" w:hAnsi="Times New Roman"/>
          <w:color w:val="000000"/>
          <w:sz w:val="14"/>
          <w:szCs w:val="14"/>
          <w:lang w:val="en-GB" w:eastAsia="zh-CN"/>
        </w:rPr>
        <w:t>  </w:t>
      </w:r>
      <w:r>
        <w:rPr>
          <w:rFonts w:ascii="Times New Roman" w:hAnsi="Times New Roman"/>
          <w:color w:val="000000"/>
          <w:lang w:val="en-GB" w:eastAsia="zh-CN"/>
        </w:rPr>
        <w:t>FFS: The end of the actual TDW is the last available slot/symbol of the PUSCH transmission right before an event such that the power consistency and phase continuity are violated.</w:t>
      </w:r>
    </w:p>
    <w:p w14:paraId="53B3198C" w14:textId="77777777" w:rsidR="00371BDF" w:rsidRDefault="00371BDF" w:rsidP="00371BDF">
      <w:pPr>
        <w:spacing w:after="120" w:line="252" w:lineRule="atLeast"/>
        <w:ind w:left="840" w:hanging="420"/>
        <w:jc w:val="both"/>
        <w:rPr>
          <w:color w:val="000000"/>
          <w:lang w:eastAsia="zh-CN"/>
        </w:rPr>
      </w:pPr>
      <w:r>
        <w:rPr>
          <w:rFonts w:hint="eastAsia"/>
          <w:color w:val="000000"/>
          <w:lang w:eastAsia="zh-CN"/>
        </w:rPr>
        <w:t>‐</w:t>
      </w:r>
      <w:r>
        <w:rPr>
          <w:rFonts w:ascii="Times New Roman" w:hAnsi="Times New Roman"/>
          <w:color w:val="000000"/>
          <w:sz w:val="14"/>
          <w:szCs w:val="14"/>
          <w:lang w:val="en-GB" w:eastAsia="zh-CN"/>
        </w:rPr>
        <w:t>   </w:t>
      </w:r>
      <w:r>
        <w:rPr>
          <w:rFonts w:ascii="Times New Roman" w:hAnsi="Times New Roman"/>
          <w:color w:val="000000"/>
          <w:lang w:val="en-GB" w:eastAsia="zh-CN"/>
        </w:rPr>
        <w:t>If the power consistency and phase continuity are violated due to an event, whether a new actual TDW is created is subject to UE capability of supporting restarting DMRS bundling.</w:t>
      </w:r>
    </w:p>
    <w:p w14:paraId="18E7E98D" w14:textId="77777777" w:rsidR="00371BDF" w:rsidRDefault="00371BDF" w:rsidP="00371BDF">
      <w:pPr>
        <w:spacing w:after="120" w:line="252" w:lineRule="atLeast"/>
        <w:ind w:left="1260" w:hanging="420"/>
        <w:jc w:val="both"/>
        <w:rPr>
          <w:color w:val="000000"/>
          <w:lang w:eastAsia="zh-CN"/>
        </w:rPr>
      </w:pPr>
      <w:r>
        <w:rPr>
          <w:rFonts w:ascii="Courier New" w:hAnsi="Courier New" w:cs="Courier New"/>
          <w:color w:val="000000"/>
          <w:lang w:val="en-GB" w:eastAsia="zh-CN"/>
        </w:rPr>
        <w:t>o</w:t>
      </w:r>
      <w:r>
        <w:rPr>
          <w:rFonts w:ascii="Times New Roman" w:hAnsi="Times New Roman"/>
          <w:color w:val="000000"/>
          <w:sz w:val="14"/>
          <w:szCs w:val="14"/>
          <w:lang w:val="en-GB" w:eastAsia="zh-CN"/>
        </w:rPr>
        <w:t>    </w:t>
      </w:r>
      <w:r>
        <w:rPr>
          <w:rFonts w:ascii="Times New Roman" w:hAnsi="Times New Roman"/>
          <w:color w:val="000000"/>
          <w:lang w:val="en-GB" w:eastAsia="zh-CN"/>
        </w:rPr>
        <w:t>If UE is capable of restarting DM-RS bundling, one new actual TDW is created after the event,</w:t>
      </w:r>
    </w:p>
    <w:p w14:paraId="13F789F6" w14:textId="77777777" w:rsidR="00371BDF" w:rsidRDefault="00371BDF" w:rsidP="00371BDF">
      <w:pPr>
        <w:spacing w:after="120" w:line="252" w:lineRule="atLeast"/>
        <w:ind w:left="1680" w:hanging="420"/>
        <w:jc w:val="both"/>
        <w:rPr>
          <w:color w:val="000000"/>
          <w:lang w:eastAsia="zh-CN"/>
        </w:rPr>
      </w:pPr>
      <w:r>
        <w:rPr>
          <w:rFonts w:ascii="Wingdings" w:hAnsi="Wingdings"/>
          <w:color w:val="000000"/>
          <w:lang w:eastAsia="zh-CN"/>
        </w:rPr>
        <w:t></w:t>
      </w:r>
      <w:r>
        <w:rPr>
          <w:rFonts w:ascii="Times New Roman" w:hAnsi="Times New Roman"/>
          <w:color w:val="000000"/>
          <w:sz w:val="14"/>
          <w:szCs w:val="14"/>
          <w:lang w:eastAsia="zh-CN"/>
        </w:rPr>
        <w:t>  </w:t>
      </w:r>
      <w:r>
        <w:rPr>
          <w:rFonts w:ascii="Times New Roman" w:hAnsi="Times New Roman"/>
          <w:color w:val="000000"/>
          <w:lang w:val="en-GB" w:eastAsia="zh-CN"/>
        </w:rPr>
        <w:t>FFS: The start of the new actual TDW is the first available slot/symbol for PUSCH transmission after the event.</w:t>
      </w:r>
    </w:p>
    <w:p w14:paraId="1A745DA3" w14:textId="77777777" w:rsidR="00371BDF" w:rsidRDefault="00371BDF" w:rsidP="00371BDF">
      <w:pPr>
        <w:spacing w:after="120" w:line="252" w:lineRule="atLeast"/>
        <w:ind w:left="1260" w:hanging="420"/>
        <w:jc w:val="both"/>
        <w:rPr>
          <w:color w:val="000000"/>
          <w:lang w:eastAsia="zh-CN"/>
        </w:rPr>
      </w:pPr>
      <w:r>
        <w:rPr>
          <w:rFonts w:ascii="Courier New" w:hAnsi="Courier New" w:cs="Courier New"/>
          <w:color w:val="000000"/>
          <w:sz w:val="21"/>
          <w:szCs w:val="21"/>
          <w:lang w:val="en-GB" w:eastAsia="zh-CN"/>
        </w:rPr>
        <w:t>o</w:t>
      </w:r>
      <w:r>
        <w:rPr>
          <w:rFonts w:ascii="Times New Roman" w:hAnsi="Times New Roman"/>
          <w:color w:val="000000"/>
          <w:sz w:val="14"/>
          <w:szCs w:val="14"/>
          <w:lang w:val="en-GB" w:eastAsia="zh-CN"/>
        </w:rPr>
        <w:t>    </w:t>
      </w:r>
      <w:r>
        <w:rPr>
          <w:rFonts w:ascii="Times New Roman" w:hAnsi="Times New Roman"/>
          <w:color w:val="000000"/>
          <w:lang w:val="en-GB" w:eastAsia="zh-CN"/>
        </w:rPr>
        <w:t>If UE is not capable of restarting DM-RS bundling, no new actual TDW is created until the end of the configured TDW.</w:t>
      </w:r>
    </w:p>
    <w:p w14:paraId="7D3903B0" w14:textId="77777777" w:rsidR="00371BDF" w:rsidRDefault="00371BDF" w:rsidP="00371BDF">
      <w:pPr>
        <w:spacing w:after="120" w:line="252" w:lineRule="atLeast"/>
        <w:ind w:left="1260" w:hanging="420"/>
        <w:jc w:val="both"/>
        <w:rPr>
          <w:color w:val="000000"/>
          <w:lang w:eastAsia="zh-CN"/>
        </w:rPr>
      </w:pPr>
      <w:r>
        <w:rPr>
          <w:rFonts w:ascii="Courier New" w:hAnsi="Courier New" w:cs="Courier New"/>
          <w:color w:val="000000"/>
          <w:lang w:val="en-GB" w:eastAsia="zh-CN"/>
        </w:rPr>
        <w:t>o</w:t>
      </w:r>
      <w:r>
        <w:rPr>
          <w:rFonts w:ascii="Times New Roman" w:hAnsi="Times New Roman"/>
          <w:color w:val="000000"/>
          <w:sz w:val="14"/>
          <w:szCs w:val="14"/>
          <w:lang w:val="en-GB" w:eastAsia="zh-CN"/>
        </w:rPr>
        <w:t>    </w:t>
      </w:r>
      <w:r>
        <w:rPr>
          <w:rFonts w:ascii="Times New Roman" w:hAnsi="Times New Roman"/>
          <w:color w:val="000000"/>
          <w:lang w:eastAsia="zh-CN"/>
        </w:rPr>
        <w:t>FFS: UE capability </w:t>
      </w:r>
      <w:r>
        <w:rPr>
          <w:rFonts w:ascii="Times New Roman" w:hAnsi="Times New Roman"/>
          <w:color w:val="FF0000"/>
          <w:lang w:eastAsia="zh-CN"/>
        </w:rPr>
        <w:t>of restarting DMRS bundling</w:t>
      </w:r>
      <w:r>
        <w:rPr>
          <w:rFonts w:ascii="Times New Roman" w:hAnsi="Times New Roman"/>
          <w:color w:val="000000"/>
          <w:lang w:eastAsia="zh-CN"/>
        </w:rPr>
        <w:t> is applied only to dynamic event or not</w:t>
      </w:r>
    </w:p>
    <w:p w14:paraId="0F4F701A" w14:textId="77777777" w:rsidR="00371BDF" w:rsidRDefault="00371BDF" w:rsidP="00371BDF">
      <w:pPr>
        <w:spacing w:after="120" w:line="252" w:lineRule="atLeast"/>
        <w:rPr>
          <w:color w:val="000000"/>
          <w:lang w:eastAsia="zh-CN"/>
        </w:rPr>
      </w:pPr>
      <w:r>
        <w:rPr>
          <w:rFonts w:ascii="Times New Roman" w:hAnsi="Times New Roman"/>
          <w:color w:val="FF0000"/>
          <w:lang w:eastAsia="zh-CN"/>
        </w:rPr>
        <w:t>Note 1: A ‘configured TDW’ refers to a time domain window whose length can be configured to ‘L’ and whose start and end is determined as described above.</w:t>
      </w:r>
    </w:p>
    <w:p w14:paraId="758C3DFB" w14:textId="77777777" w:rsidR="00371BDF" w:rsidRDefault="00371BDF" w:rsidP="00371BDF">
      <w:pPr>
        <w:spacing w:after="120" w:line="252" w:lineRule="atLeast"/>
        <w:rPr>
          <w:color w:val="000000"/>
          <w:lang w:eastAsia="zh-CN"/>
        </w:rPr>
      </w:pPr>
      <w:r>
        <w:rPr>
          <w:rFonts w:ascii="Times New Roman" w:hAnsi="Times New Roman"/>
          <w:color w:val="FF0000"/>
          <w:lang w:eastAsia="zh-CN"/>
        </w:rPr>
        <w:t>Note 2: An ‘actual TDW’ refers to a time domain window during whose entire duration the DM-RS bundling is actually applied. An ‘actual TDW’ duration is always less than or equal to the ‘configure TDW’ </w:t>
      </w:r>
      <w:r>
        <w:rPr>
          <w:rFonts w:ascii="Times New Roman" w:hAnsi="Times New Roman"/>
          <w:color w:val="0000FF"/>
          <w:lang w:eastAsia="zh-CN"/>
        </w:rPr>
        <w:t>duration</w:t>
      </w:r>
      <w:r>
        <w:rPr>
          <w:rFonts w:ascii="Times New Roman" w:hAnsi="Times New Roman"/>
          <w:color w:val="FF0000"/>
          <w:lang w:eastAsia="zh-CN"/>
        </w:rPr>
        <w:t>.</w:t>
      </w:r>
    </w:p>
    <w:p w14:paraId="2032AA4A" w14:textId="77777777" w:rsidR="00371BDF" w:rsidRDefault="00371BDF" w:rsidP="00371BDF">
      <w:pPr>
        <w:rPr>
          <w:color w:val="000000"/>
          <w:lang w:eastAsia="zh-CN"/>
        </w:rPr>
      </w:pPr>
      <w:r>
        <w:rPr>
          <w:rFonts w:ascii="Times New Roman" w:hAnsi="Times New Roman"/>
          <w:color w:val="FF0000"/>
          <w:lang w:eastAsia="zh-CN"/>
        </w:rPr>
        <w:t>Note 3: Whether the terms ‘configured TDW’ and ‘actual TDW’ are revised to other terms and if such terminology is used in specifications is to be further discussed.</w:t>
      </w:r>
    </w:p>
    <w:p w14:paraId="74F7F77E" w14:textId="628C50BD" w:rsidR="00371BDF" w:rsidRDefault="00371BDF" w:rsidP="00371BDF">
      <w:pPr>
        <w:rPr>
          <w:lang w:eastAsia="zh-CN"/>
        </w:rPr>
      </w:pPr>
    </w:p>
    <w:p w14:paraId="301448D0" w14:textId="5607A06A" w:rsidR="00371BDF" w:rsidRDefault="00371BDF" w:rsidP="00371BDF">
      <w:pPr>
        <w:jc w:val="both"/>
        <w:rPr>
          <w:lang w:eastAsia="zh-CN"/>
        </w:rPr>
      </w:pPr>
      <w:r>
        <w:rPr>
          <w:lang w:eastAsia="zh-CN"/>
        </w:rPr>
        <w:t xml:space="preserve">The proposal on time domain window has </w:t>
      </w:r>
      <w:r w:rsidR="00F92B17">
        <w:rPr>
          <w:lang w:eastAsia="zh-CN"/>
        </w:rPr>
        <w:t>agreed to be</w:t>
      </w:r>
      <w:r>
        <w:rPr>
          <w:lang w:eastAsia="zh-CN"/>
        </w:rPr>
        <w:t xml:space="preserve"> working assumption in the previous meeting. In this document, we try to address the pending issues in the aspects of Joint channel estimation</w:t>
      </w:r>
      <w:r w:rsidR="0057494D">
        <w:rPr>
          <w:lang w:eastAsia="zh-CN"/>
        </w:rPr>
        <w:t xml:space="preserve"> (JCE)</w:t>
      </w:r>
      <w:r>
        <w:rPr>
          <w:lang w:eastAsia="zh-CN"/>
        </w:rPr>
        <w:t xml:space="preserve"> implementation. Determining the start of configured time domain windows prior to first transmission will be more flexible if physical slot based counting is performed. Physical slot</w:t>
      </w:r>
      <w:r w:rsidR="002C5700">
        <w:rPr>
          <w:lang w:eastAsia="zh-CN"/>
        </w:rPr>
        <w:t>/symbol</w:t>
      </w:r>
      <w:r>
        <w:rPr>
          <w:lang w:eastAsia="zh-CN"/>
        </w:rPr>
        <w:t xml:space="preserve"> based configured TDW is easier way of implementation as the start of all </w:t>
      </w:r>
      <w:r w:rsidR="002C5700">
        <w:rPr>
          <w:lang w:eastAsia="zh-CN"/>
        </w:rPr>
        <w:t>configured TDWs can</w:t>
      </w:r>
      <w:r>
        <w:rPr>
          <w:lang w:eastAsia="zh-CN"/>
        </w:rPr>
        <w:t xml:space="preserve"> implicitly </w:t>
      </w:r>
      <w:r w:rsidR="00006F55">
        <w:rPr>
          <w:lang w:eastAsia="zh-CN"/>
        </w:rPr>
        <w:t>determine</w:t>
      </w:r>
      <w:r>
        <w:rPr>
          <w:lang w:eastAsia="zh-CN"/>
        </w:rPr>
        <w:t xml:space="preserve"> before the first TDW. </w:t>
      </w:r>
      <w:r w:rsidR="002C5700">
        <w:rPr>
          <w:lang w:eastAsia="zh-CN"/>
        </w:rPr>
        <w:t>Whereas in case of actual TDW, available slot/symbol based start and end determination will be more accurate. As actua</w:t>
      </w:r>
      <w:r w:rsidR="00006F55">
        <w:rPr>
          <w:lang w:eastAsia="zh-CN"/>
        </w:rPr>
        <w:t>l TDWs are the time windows</w:t>
      </w:r>
      <w:r w:rsidR="002C5700">
        <w:rPr>
          <w:lang w:eastAsia="zh-CN"/>
        </w:rPr>
        <w:t xml:space="preserve"> over which UE maintain phase continuit</w:t>
      </w:r>
      <w:r w:rsidR="00006F55">
        <w:rPr>
          <w:lang w:eastAsia="zh-CN"/>
        </w:rPr>
        <w:t>y and power consistency, it is</w:t>
      </w:r>
      <w:r w:rsidR="002C5700">
        <w:rPr>
          <w:lang w:eastAsia="zh-CN"/>
        </w:rPr>
        <w:t xml:space="preserve"> more logical if available slot is used as reference to determine the start and end of actual TDW.</w:t>
      </w:r>
    </w:p>
    <w:p w14:paraId="75B976FF" w14:textId="0BAF0627" w:rsidR="00371BDF" w:rsidRPr="00D07F45" w:rsidRDefault="00371BDF" w:rsidP="00371BDF">
      <w:pPr>
        <w:jc w:val="both"/>
        <w:rPr>
          <w:b/>
          <w:i/>
          <w:lang w:eastAsia="zh-CN"/>
        </w:rPr>
      </w:pPr>
      <w:r w:rsidRPr="00D07F45">
        <w:rPr>
          <w:b/>
          <w:i/>
          <w:lang w:eastAsia="zh-CN"/>
        </w:rPr>
        <w:t>Proposal 1: Physical slot</w:t>
      </w:r>
      <w:r w:rsidR="00FB43E4">
        <w:rPr>
          <w:b/>
          <w:i/>
          <w:lang w:eastAsia="zh-CN"/>
        </w:rPr>
        <w:t>/symbol</w:t>
      </w:r>
      <w:r w:rsidRPr="00D07F45">
        <w:rPr>
          <w:b/>
          <w:i/>
          <w:lang w:eastAsia="zh-CN"/>
        </w:rPr>
        <w:t xml:space="preserve"> to be used as the reference</w:t>
      </w:r>
      <w:r w:rsidR="00FB43E4">
        <w:rPr>
          <w:b/>
          <w:i/>
          <w:lang w:eastAsia="zh-CN"/>
        </w:rPr>
        <w:t xml:space="preserve"> to determine start and end of configured TDW and available slot/symbol to be used to determine start and end of actual TDW</w:t>
      </w:r>
      <w:r w:rsidRPr="00D07F45">
        <w:rPr>
          <w:b/>
          <w:i/>
          <w:lang w:eastAsia="zh-CN"/>
        </w:rPr>
        <w:t>.</w:t>
      </w:r>
    </w:p>
    <w:p w14:paraId="3C025DFE" w14:textId="53BC7462" w:rsidR="00371BDF" w:rsidRDefault="00382BC4" w:rsidP="00371BDF">
      <w:pPr>
        <w:jc w:val="both"/>
        <w:rPr>
          <w:lang w:eastAsia="zh-CN"/>
        </w:rPr>
      </w:pPr>
      <w:r>
        <w:rPr>
          <w:lang w:eastAsia="zh-CN"/>
        </w:rPr>
        <w:t xml:space="preserve">The window length of the configured TDW (L) should be always less than the maximum duration over which phase continuity can be maintained by </w:t>
      </w:r>
      <w:r w:rsidR="00373EAA">
        <w:rPr>
          <w:lang w:eastAsia="zh-CN"/>
        </w:rPr>
        <w:t xml:space="preserve">an </w:t>
      </w:r>
      <w:r>
        <w:rPr>
          <w:lang w:eastAsia="zh-CN"/>
        </w:rPr>
        <w:t>UE.</w:t>
      </w:r>
      <w:r w:rsidR="00373EAA">
        <w:rPr>
          <w:lang w:eastAsia="zh-CN"/>
        </w:rPr>
        <w:t xml:space="preserve"> The maximum duration over which phase continuity and power consistency can be maintained is based on the UE capability</w:t>
      </w:r>
      <w:r w:rsidR="0034376D">
        <w:rPr>
          <w:lang w:eastAsia="zh-CN"/>
        </w:rPr>
        <w:t xml:space="preserve"> and recommend</w:t>
      </w:r>
      <w:r w:rsidR="001F087B">
        <w:rPr>
          <w:lang w:eastAsia="zh-CN"/>
        </w:rPr>
        <w:t>ed</w:t>
      </w:r>
      <w:r w:rsidR="0034376D">
        <w:rPr>
          <w:lang w:eastAsia="zh-CN"/>
        </w:rPr>
        <w:t xml:space="preserve"> </w:t>
      </w:r>
      <w:r w:rsidR="001F087B">
        <w:rPr>
          <w:lang w:eastAsia="zh-CN"/>
        </w:rPr>
        <w:t>by</w:t>
      </w:r>
      <w:r w:rsidR="0034376D">
        <w:rPr>
          <w:lang w:eastAsia="zh-CN"/>
        </w:rPr>
        <w:t xml:space="preserve"> RAN4</w:t>
      </w:r>
      <w:r w:rsidR="00373EAA">
        <w:rPr>
          <w:lang w:eastAsia="zh-CN"/>
        </w:rPr>
        <w:t xml:space="preserve">. </w:t>
      </w:r>
      <w:r>
        <w:rPr>
          <w:lang w:eastAsia="zh-CN"/>
        </w:rPr>
        <w:t>If L is greater than maximum duration over which phase continuity maintained (D), then the benefits of DMRS bundling cannot be reaped and on the other hand the effects of phase error will degrade the performance. So, the window length L should always be less than D</w:t>
      </w:r>
      <w:r w:rsidR="00AD7BAD">
        <w:rPr>
          <w:lang w:eastAsia="zh-CN"/>
        </w:rPr>
        <w:t xml:space="preserve"> and configured for every UL BWP</w:t>
      </w:r>
      <w:r>
        <w:rPr>
          <w:lang w:eastAsia="zh-CN"/>
        </w:rPr>
        <w:t xml:space="preserve">. Besides it is expected L to be less than the </w:t>
      </w:r>
      <w:r w:rsidR="00A5204D">
        <w:rPr>
          <w:lang w:eastAsia="zh-CN"/>
        </w:rPr>
        <w:t>duration over which all the PUSCH repetitions of JCE is configured (N).</w:t>
      </w:r>
    </w:p>
    <w:p w14:paraId="5DD391B9" w14:textId="6B80BB55" w:rsidR="00382BC4" w:rsidRDefault="00382BC4" w:rsidP="00371BDF">
      <w:pPr>
        <w:jc w:val="both"/>
        <w:rPr>
          <w:b/>
          <w:i/>
          <w:lang w:eastAsia="zh-CN"/>
        </w:rPr>
      </w:pPr>
      <w:r w:rsidRPr="00382BC4">
        <w:rPr>
          <w:b/>
          <w:i/>
          <w:lang w:eastAsia="zh-CN"/>
        </w:rPr>
        <w:lastRenderedPageBreak/>
        <w:t>Proposal 2:</w:t>
      </w:r>
      <w:r w:rsidR="006018E8">
        <w:rPr>
          <w:b/>
          <w:i/>
          <w:lang w:eastAsia="zh-CN"/>
        </w:rPr>
        <w:t xml:space="preserve"> </w:t>
      </w:r>
      <m:oMath>
        <m:r>
          <m:rPr>
            <m:sty m:val="bi"/>
          </m:rPr>
          <w:rPr>
            <w:rFonts w:ascii="Cambria Math" w:hAnsi="Cambria Math"/>
            <w:lang w:eastAsia="zh-CN"/>
          </w:rPr>
          <m:t>L≤min(D, N)</m:t>
        </m:r>
      </m:oMath>
      <w:r w:rsidRPr="00382BC4">
        <w:rPr>
          <w:b/>
          <w:i/>
          <w:lang w:eastAsia="zh-CN"/>
        </w:rPr>
        <w:t xml:space="preserve">. Where L is the configured time domain window length, D is the maximum duration </w:t>
      </w:r>
      <w:r w:rsidR="00352777">
        <w:rPr>
          <w:b/>
          <w:i/>
          <w:lang w:eastAsia="zh-CN"/>
        </w:rPr>
        <w:t>that an</w:t>
      </w:r>
      <w:r w:rsidRPr="00382BC4">
        <w:rPr>
          <w:b/>
          <w:i/>
          <w:lang w:eastAsia="zh-CN"/>
        </w:rPr>
        <w:t xml:space="preserve"> UE can maintain phase continuity and power consistency</w:t>
      </w:r>
      <w:r w:rsidR="00352777">
        <w:rPr>
          <w:b/>
          <w:i/>
          <w:lang w:eastAsia="zh-CN"/>
        </w:rPr>
        <w:t xml:space="preserve"> (</w:t>
      </w:r>
      <w:r w:rsidR="00BD2D1E">
        <w:rPr>
          <w:b/>
          <w:i/>
          <w:lang w:eastAsia="zh-CN"/>
        </w:rPr>
        <w:t>based on recommendation</w:t>
      </w:r>
      <w:r w:rsidR="00352777">
        <w:rPr>
          <w:b/>
          <w:i/>
          <w:lang w:eastAsia="zh-CN"/>
        </w:rPr>
        <w:t xml:space="preserve"> by RAN4)</w:t>
      </w:r>
      <w:r w:rsidRPr="00382BC4">
        <w:rPr>
          <w:b/>
          <w:i/>
          <w:lang w:eastAsia="zh-CN"/>
        </w:rPr>
        <w:t xml:space="preserve"> and N is the </w:t>
      </w:r>
      <w:r w:rsidR="00A5204D">
        <w:rPr>
          <w:b/>
          <w:i/>
          <w:lang w:eastAsia="zh-CN"/>
        </w:rPr>
        <w:t>duration of PUSCH repetitions</w:t>
      </w:r>
      <w:r w:rsidRPr="00382BC4">
        <w:rPr>
          <w:b/>
          <w:i/>
          <w:lang w:eastAsia="zh-CN"/>
        </w:rPr>
        <w:t xml:space="preserve"> </w:t>
      </w:r>
      <w:r w:rsidR="002502E0">
        <w:rPr>
          <w:b/>
          <w:i/>
          <w:lang w:eastAsia="zh-CN"/>
        </w:rPr>
        <w:t xml:space="preserve">of same TB </w:t>
      </w:r>
      <w:r w:rsidRPr="00382BC4">
        <w:rPr>
          <w:b/>
          <w:i/>
          <w:lang w:eastAsia="zh-CN"/>
        </w:rPr>
        <w:t xml:space="preserve">over which JCE is </w:t>
      </w:r>
      <w:r w:rsidR="00A5204D">
        <w:rPr>
          <w:b/>
          <w:i/>
          <w:lang w:eastAsia="zh-CN"/>
        </w:rPr>
        <w:t>spanning</w:t>
      </w:r>
      <w:r w:rsidRPr="00382BC4">
        <w:rPr>
          <w:b/>
          <w:i/>
          <w:lang w:eastAsia="zh-CN"/>
        </w:rPr>
        <w:t>.</w:t>
      </w:r>
    </w:p>
    <w:p w14:paraId="1F024751" w14:textId="0DD3A426" w:rsidR="00AD7BAD" w:rsidRDefault="00A81C01" w:rsidP="00371BDF">
      <w:pPr>
        <w:jc w:val="both"/>
        <w:rPr>
          <w:lang w:eastAsia="zh-CN"/>
        </w:rPr>
      </w:pPr>
      <w:r>
        <w:rPr>
          <w:lang w:eastAsia="zh-CN"/>
        </w:rPr>
        <w:t xml:space="preserve">The start of all configured TDWs is determined prior to the first configured TDW. </w:t>
      </w:r>
      <w:r w:rsidR="00AD7BAD" w:rsidRPr="00AD7BAD">
        <w:rPr>
          <w:lang w:eastAsia="zh-CN"/>
        </w:rPr>
        <w:t xml:space="preserve">The configured TDWs are consecutive for paired </w:t>
      </w:r>
      <w:r w:rsidR="006F6B5E">
        <w:rPr>
          <w:lang w:eastAsia="zh-CN"/>
        </w:rPr>
        <w:t>spectrum/SUL band and will be according to</w:t>
      </w:r>
      <w:r w:rsidR="00AD7BAD" w:rsidRPr="00AD7BAD">
        <w:rPr>
          <w:lang w:eastAsia="zh-CN"/>
        </w:rPr>
        <w:t xml:space="preserve"> semi-static DL/UL config</w:t>
      </w:r>
      <w:r w:rsidR="00AD7BAD">
        <w:rPr>
          <w:lang w:eastAsia="zh-CN"/>
        </w:rPr>
        <w:t>uration for un-paired spectrum. TDWs should be configured on the slots that follow</w:t>
      </w:r>
      <w:r w:rsidR="00F947B8">
        <w:rPr>
          <w:lang w:eastAsia="zh-CN"/>
        </w:rPr>
        <w:t xml:space="preserve"> PUSCH repetition type-</w:t>
      </w:r>
      <w:r w:rsidR="00AD7BAD">
        <w:rPr>
          <w:lang w:eastAsia="zh-CN"/>
        </w:rPr>
        <w:t xml:space="preserve">A procedure. Legacy approach of PUSCH repetition can be reused in counting the slots and </w:t>
      </w:r>
      <w:r w:rsidR="002551CE">
        <w:rPr>
          <w:lang w:eastAsia="zh-CN"/>
        </w:rPr>
        <w:t xml:space="preserve">actual </w:t>
      </w:r>
      <w:r w:rsidR="00AD7BAD">
        <w:rPr>
          <w:lang w:eastAsia="zh-CN"/>
        </w:rPr>
        <w:t>TDWs are configured over the slots according to paired or un-paired spectrum.</w:t>
      </w:r>
    </w:p>
    <w:p w14:paraId="7C6FC139" w14:textId="77777777" w:rsidR="00CE0D5E" w:rsidRPr="00925888" w:rsidRDefault="00141644" w:rsidP="008F1284">
      <w:pPr>
        <w:pStyle w:val="Heading1"/>
        <w:numPr>
          <w:ilvl w:val="0"/>
          <w:numId w:val="1"/>
        </w:numPr>
        <w:rPr>
          <w:rFonts w:asciiTheme="minorHAnsi" w:hAnsiTheme="minorHAnsi" w:cstheme="minorHAnsi"/>
        </w:rPr>
      </w:pPr>
      <w:r w:rsidRPr="00925888">
        <w:rPr>
          <w:rFonts w:asciiTheme="minorHAnsi" w:hAnsiTheme="minorHAnsi" w:cstheme="minorHAnsi"/>
        </w:rPr>
        <w:t>Summary</w:t>
      </w:r>
    </w:p>
    <w:p w14:paraId="14DFEE32" w14:textId="21175EF5" w:rsidR="0094768B" w:rsidRDefault="006F7557" w:rsidP="00D13156">
      <w:pPr>
        <w:adjustRightInd w:val="0"/>
        <w:snapToGrid w:val="0"/>
        <w:spacing w:before="180" w:after="120"/>
        <w:jc w:val="both"/>
        <w:rPr>
          <w:rFonts w:cstheme="minorHAnsi"/>
          <w:b/>
          <w:sz w:val="20"/>
          <w:szCs w:val="20"/>
          <w:lang w:eastAsia="x-none"/>
        </w:rPr>
      </w:pPr>
      <w:r w:rsidRPr="00925888">
        <w:rPr>
          <w:rFonts w:cstheme="minorHAnsi"/>
        </w:rPr>
        <w:t>In this paper</w:t>
      </w:r>
      <w:r w:rsidR="005C7F0B" w:rsidRPr="00925888">
        <w:rPr>
          <w:rFonts w:cstheme="minorHAnsi"/>
        </w:rPr>
        <w:t xml:space="preserve">, </w:t>
      </w:r>
      <w:r w:rsidR="00D13156" w:rsidRPr="00925888">
        <w:rPr>
          <w:rFonts w:cstheme="minorHAnsi"/>
        </w:rPr>
        <w:t xml:space="preserve">we discussed the </w:t>
      </w:r>
      <w:r w:rsidR="008A3B9B">
        <w:rPr>
          <w:rFonts w:cstheme="minorHAnsi"/>
        </w:rPr>
        <w:t xml:space="preserve">pending </w:t>
      </w:r>
      <w:r w:rsidR="00D13156" w:rsidRPr="00925888">
        <w:rPr>
          <w:rFonts w:cstheme="minorHAnsi"/>
        </w:rPr>
        <w:t>issue</w:t>
      </w:r>
      <w:r w:rsidR="008A3B9B">
        <w:rPr>
          <w:rFonts w:cstheme="minorHAnsi"/>
        </w:rPr>
        <w:t>s</w:t>
      </w:r>
      <w:r w:rsidR="00D13156" w:rsidRPr="00925888">
        <w:rPr>
          <w:rFonts w:cstheme="minorHAnsi"/>
        </w:rPr>
        <w:t xml:space="preserve"> of </w:t>
      </w:r>
      <w:r w:rsidR="008A3B9B">
        <w:rPr>
          <w:rFonts w:cstheme="minorHAnsi"/>
        </w:rPr>
        <w:t>joint channel estimation over multi slot PUSCH</w:t>
      </w:r>
      <w:r w:rsidR="00D13156" w:rsidRPr="00925888">
        <w:rPr>
          <w:rFonts w:cstheme="minorHAnsi"/>
        </w:rPr>
        <w:t xml:space="preserve">. </w:t>
      </w:r>
      <w:r w:rsidR="00CB0B1A" w:rsidRPr="00925888">
        <w:rPr>
          <w:rFonts w:cstheme="minorHAnsi"/>
        </w:rPr>
        <w:t>We have the following</w:t>
      </w:r>
      <w:r w:rsidR="008A3B9B">
        <w:rPr>
          <w:rFonts w:cstheme="minorHAnsi"/>
        </w:rPr>
        <w:t xml:space="preserve"> proposals</w:t>
      </w:r>
      <w:r w:rsidR="00CB0B1A" w:rsidRPr="00925888">
        <w:rPr>
          <w:rFonts w:cstheme="minorHAnsi"/>
        </w:rPr>
        <w:t>.</w:t>
      </w:r>
      <w:r w:rsidR="00F304AC" w:rsidRPr="00925888">
        <w:rPr>
          <w:rFonts w:cstheme="minorHAnsi"/>
          <w:b/>
          <w:sz w:val="20"/>
          <w:szCs w:val="20"/>
          <w:lang w:eastAsia="x-none"/>
        </w:rPr>
        <w:t xml:space="preserve"> </w:t>
      </w:r>
    </w:p>
    <w:p w14:paraId="1B05E60A" w14:textId="77777777" w:rsidR="00B83656" w:rsidRPr="00D07F45" w:rsidRDefault="00B83656" w:rsidP="00B83656">
      <w:pPr>
        <w:jc w:val="both"/>
        <w:rPr>
          <w:b/>
          <w:i/>
          <w:lang w:eastAsia="zh-CN"/>
        </w:rPr>
      </w:pPr>
      <w:r w:rsidRPr="00D07F45">
        <w:rPr>
          <w:b/>
          <w:i/>
          <w:lang w:eastAsia="zh-CN"/>
        </w:rPr>
        <w:t>Proposal 1: Physical slot</w:t>
      </w:r>
      <w:r>
        <w:rPr>
          <w:b/>
          <w:i/>
          <w:lang w:eastAsia="zh-CN"/>
        </w:rPr>
        <w:t>/symbol</w:t>
      </w:r>
      <w:r w:rsidRPr="00D07F45">
        <w:rPr>
          <w:b/>
          <w:i/>
          <w:lang w:eastAsia="zh-CN"/>
        </w:rPr>
        <w:t xml:space="preserve"> to be used as the reference</w:t>
      </w:r>
      <w:r>
        <w:rPr>
          <w:b/>
          <w:i/>
          <w:lang w:eastAsia="zh-CN"/>
        </w:rPr>
        <w:t xml:space="preserve"> to determine start and end of configured TDW and available slot/symbol to be used to determine start and end of actual TDW</w:t>
      </w:r>
      <w:r w:rsidRPr="00D07F45">
        <w:rPr>
          <w:b/>
          <w:i/>
          <w:lang w:eastAsia="zh-CN"/>
        </w:rPr>
        <w:t>.</w:t>
      </w:r>
    </w:p>
    <w:p w14:paraId="4175D1E0" w14:textId="77777777" w:rsidR="00B83656" w:rsidRDefault="00B83656" w:rsidP="00B83656">
      <w:pPr>
        <w:jc w:val="both"/>
        <w:rPr>
          <w:b/>
          <w:i/>
          <w:lang w:eastAsia="zh-CN"/>
        </w:rPr>
      </w:pPr>
      <w:r w:rsidRPr="00382BC4">
        <w:rPr>
          <w:b/>
          <w:i/>
          <w:lang w:eastAsia="zh-CN"/>
        </w:rPr>
        <w:t>Proposal 2:</w:t>
      </w:r>
      <w:r>
        <w:rPr>
          <w:b/>
          <w:i/>
          <w:lang w:eastAsia="zh-CN"/>
        </w:rPr>
        <w:t xml:space="preserve"> </w:t>
      </w:r>
      <m:oMath>
        <m:r>
          <m:rPr>
            <m:sty m:val="bi"/>
          </m:rPr>
          <w:rPr>
            <w:rFonts w:ascii="Cambria Math" w:hAnsi="Cambria Math"/>
            <w:lang w:eastAsia="zh-CN"/>
          </w:rPr>
          <m:t>L≤min(D, N)</m:t>
        </m:r>
      </m:oMath>
      <w:r w:rsidRPr="00382BC4">
        <w:rPr>
          <w:b/>
          <w:i/>
          <w:lang w:eastAsia="zh-CN"/>
        </w:rPr>
        <w:t xml:space="preserve">. Where L is the configured time domain window length, D is the maximum duration </w:t>
      </w:r>
      <w:r>
        <w:rPr>
          <w:b/>
          <w:i/>
          <w:lang w:eastAsia="zh-CN"/>
        </w:rPr>
        <w:t>that an</w:t>
      </w:r>
      <w:r w:rsidRPr="00382BC4">
        <w:rPr>
          <w:b/>
          <w:i/>
          <w:lang w:eastAsia="zh-CN"/>
        </w:rPr>
        <w:t xml:space="preserve"> UE can maintain phase continuity and power consistency</w:t>
      </w:r>
      <w:r>
        <w:rPr>
          <w:b/>
          <w:i/>
          <w:lang w:eastAsia="zh-CN"/>
        </w:rPr>
        <w:t xml:space="preserve"> (based on recommendation by RAN4)</w:t>
      </w:r>
      <w:r w:rsidRPr="00382BC4">
        <w:rPr>
          <w:b/>
          <w:i/>
          <w:lang w:eastAsia="zh-CN"/>
        </w:rPr>
        <w:t xml:space="preserve"> and N is the </w:t>
      </w:r>
      <w:r>
        <w:rPr>
          <w:b/>
          <w:i/>
          <w:lang w:eastAsia="zh-CN"/>
        </w:rPr>
        <w:t>duration of PUSCH repetitions</w:t>
      </w:r>
      <w:r w:rsidRPr="00382BC4">
        <w:rPr>
          <w:b/>
          <w:i/>
          <w:lang w:eastAsia="zh-CN"/>
        </w:rPr>
        <w:t xml:space="preserve"> </w:t>
      </w:r>
      <w:r>
        <w:rPr>
          <w:b/>
          <w:i/>
          <w:lang w:eastAsia="zh-CN"/>
        </w:rPr>
        <w:t xml:space="preserve">of same TB </w:t>
      </w:r>
      <w:r w:rsidRPr="00382BC4">
        <w:rPr>
          <w:b/>
          <w:i/>
          <w:lang w:eastAsia="zh-CN"/>
        </w:rPr>
        <w:t xml:space="preserve">over which JCE is </w:t>
      </w:r>
      <w:r>
        <w:rPr>
          <w:b/>
          <w:i/>
          <w:lang w:eastAsia="zh-CN"/>
        </w:rPr>
        <w:t>spanning</w:t>
      </w:r>
      <w:r w:rsidRPr="00382BC4">
        <w:rPr>
          <w:b/>
          <w:i/>
          <w:lang w:eastAsia="zh-CN"/>
        </w:rPr>
        <w:t>.</w:t>
      </w:r>
    </w:p>
    <w:p w14:paraId="18A2943B" w14:textId="77777777" w:rsidR="008A3B9B" w:rsidRDefault="008A3B9B" w:rsidP="00D13156">
      <w:pPr>
        <w:adjustRightInd w:val="0"/>
        <w:snapToGrid w:val="0"/>
        <w:spacing w:before="180" w:after="120"/>
        <w:jc w:val="both"/>
        <w:rPr>
          <w:rFonts w:cstheme="minorHAnsi"/>
          <w:b/>
          <w:sz w:val="20"/>
          <w:szCs w:val="20"/>
          <w:lang w:eastAsia="x-none"/>
        </w:rPr>
      </w:pPr>
      <w:bookmarkStart w:id="0" w:name="_GoBack"/>
      <w:bookmarkEnd w:id="0"/>
    </w:p>
    <w:p w14:paraId="2E96BB97" w14:textId="77777777" w:rsidR="00842EE0" w:rsidRPr="00925888" w:rsidRDefault="00842EE0" w:rsidP="004667EC">
      <w:pPr>
        <w:pStyle w:val="Heading1"/>
        <w:rPr>
          <w:rFonts w:asciiTheme="minorHAnsi" w:hAnsiTheme="minorHAnsi" w:cstheme="minorHAnsi"/>
        </w:rPr>
      </w:pPr>
      <w:r w:rsidRPr="00925888">
        <w:rPr>
          <w:rFonts w:asciiTheme="minorHAnsi" w:hAnsiTheme="minorHAnsi" w:cstheme="minorHAnsi"/>
        </w:rPr>
        <w:t>Reference</w:t>
      </w:r>
    </w:p>
    <w:p w14:paraId="630089AC" w14:textId="46606871" w:rsidR="009546A5" w:rsidRPr="00925888" w:rsidRDefault="0074521A" w:rsidP="008C6D96">
      <w:pPr>
        <w:widowControl w:val="0"/>
        <w:autoSpaceDN w:val="0"/>
        <w:spacing w:after="120" w:line="240" w:lineRule="auto"/>
        <w:jc w:val="both"/>
        <w:rPr>
          <w:rFonts w:cstheme="minorHAnsi"/>
          <w:sz w:val="20"/>
          <w:lang w:eastAsia="ko-KR"/>
        </w:rPr>
      </w:pPr>
      <w:r>
        <w:rPr>
          <w:rFonts w:cstheme="minorHAnsi"/>
          <w:lang w:val="en-GB"/>
        </w:rPr>
        <w:t>[1]</w:t>
      </w:r>
      <w:bookmarkStart w:id="1" w:name="_Ref64378117"/>
      <w:bookmarkStart w:id="2" w:name="_Ref47206669"/>
      <w:bookmarkStart w:id="3" w:name="_Ref30840956"/>
      <w:r w:rsidR="00FB1BDD" w:rsidRPr="00FB1BDD">
        <w:rPr>
          <w:lang w:eastAsia="zh-CN"/>
        </w:rPr>
        <w:t xml:space="preserve"> </w:t>
      </w:r>
      <w:r w:rsidR="00FB1BDD">
        <w:rPr>
          <w:lang w:eastAsia="zh-CN"/>
        </w:rPr>
        <w:t>Chairman’s notes, RAN1 #10</w:t>
      </w:r>
      <w:r w:rsidR="008A3B9B">
        <w:rPr>
          <w:lang w:eastAsia="zh-CN"/>
        </w:rPr>
        <w:t>6</w:t>
      </w:r>
      <w:r w:rsidR="00FB1BDD">
        <w:rPr>
          <w:lang w:eastAsia="zh-CN"/>
        </w:rPr>
        <w:t>-</w:t>
      </w:r>
      <w:r w:rsidR="00FB1BDD" w:rsidRPr="00CF5EE3">
        <w:rPr>
          <w:lang w:eastAsia="zh-CN"/>
        </w:rPr>
        <w:t xml:space="preserve">e-Meeting, </w:t>
      </w:r>
      <w:r w:rsidR="00FB1BDD">
        <w:rPr>
          <w:lang w:eastAsia="zh-CN"/>
        </w:rPr>
        <w:t>May,</w:t>
      </w:r>
      <w:r w:rsidR="00FB1BDD" w:rsidRPr="00CF5EE3">
        <w:rPr>
          <w:lang w:eastAsia="zh-CN"/>
        </w:rPr>
        <w:t xml:space="preserve"> 2021</w:t>
      </w:r>
      <w:bookmarkEnd w:id="1"/>
      <w:bookmarkEnd w:id="2"/>
      <w:bookmarkEnd w:id="3"/>
      <w:r w:rsidR="00FB1BDD">
        <w:rPr>
          <w:lang w:val="en-GB"/>
        </w:rPr>
        <w:t>.</w:t>
      </w:r>
    </w:p>
    <w:sectPr w:rsidR="009546A5" w:rsidRPr="00925888"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C43E4E" w14:textId="77777777" w:rsidR="00D40F0E" w:rsidRDefault="00D40F0E">
      <w:r>
        <w:separator/>
      </w:r>
    </w:p>
  </w:endnote>
  <w:endnote w:type="continuationSeparator" w:id="0">
    <w:p w14:paraId="1673FE9A" w14:textId="77777777" w:rsidR="00D40F0E" w:rsidRDefault="00D40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712CC0" w14:textId="77777777" w:rsidR="00D40F0E" w:rsidRDefault="00D40F0E">
      <w:r>
        <w:separator/>
      </w:r>
    </w:p>
  </w:footnote>
  <w:footnote w:type="continuationSeparator" w:id="0">
    <w:p w14:paraId="0B95FFAA" w14:textId="77777777" w:rsidR="00D40F0E" w:rsidRDefault="00D40F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2C0A19"/>
    <w:multiLevelType w:val="multilevel"/>
    <w:tmpl w:val="0050791E"/>
    <w:lvl w:ilvl="0">
      <w:start w:val="1"/>
      <w:numFmt w:val="decimal"/>
      <w:pStyle w:val="3GPPHeader1"/>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1F554533"/>
    <w:multiLevelType w:val="multilevel"/>
    <w:tmpl w:val="DBB8CEDA"/>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29D7C43"/>
    <w:multiLevelType w:val="hybridMultilevel"/>
    <w:tmpl w:val="EE8E6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9D542E2"/>
    <w:multiLevelType w:val="multilevel"/>
    <w:tmpl w:val="49D542E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11"/>
  </w:num>
  <w:num w:numId="2">
    <w:abstractNumId w:val="7"/>
  </w:num>
  <w:num w:numId="3">
    <w:abstractNumId w:val="1"/>
  </w:num>
  <w:num w:numId="4">
    <w:abstractNumId w:val="0"/>
  </w:num>
  <w:num w:numId="5">
    <w:abstractNumId w:val="5"/>
  </w:num>
  <w:num w:numId="6">
    <w:abstractNumId w:val="10"/>
  </w:num>
  <w:num w:numId="7">
    <w:abstractNumId w:val="8"/>
  </w:num>
  <w:num w:numId="8">
    <w:abstractNumId w:val="2"/>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6"/>
  </w:num>
  <w:num w:numId="12">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09F"/>
    <w:rsid w:val="00001116"/>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55"/>
    <w:rsid w:val="00006FDF"/>
    <w:rsid w:val="0000708A"/>
    <w:rsid w:val="000070A0"/>
    <w:rsid w:val="0000719E"/>
    <w:rsid w:val="000074C4"/>
    <w:rsid w:val="00010086"/>
    <w:rsid w:val="00010823"/>
    <w:rsid w:val="00010D4A"/>
    <w:rsid w:val="000116F3"/>
    <w:rsid w:val="00011779"/>
    <w:rsid w:val="00011868"/>
    <w:rsid w:val="00011B0F"/>
    <w:rsid w:val="0001295C"/>
    <w:rsid w:val="00012A64"/>
    <w:rsid w:val="00013939"/>
    <w:rsid w:val="00013D89"/>
    <w:rsid w:val="00013F4A"/>
    <w:rsid w:val="000141ED"/>
    <w:rsid w:val="00014548"/>
    <w:rsid w:val="00014715"/>
    <w:rsid w:val="00014E8B"/>
    <w:rsid w:val="0001535F"/>
    <w:rsid w:val="00015651"/>
    <w:rsid w:val="00015A4B"/>
    <w:rsid w:val="00015AEA"/>
    <w:rsid w:val="00015B29"/>
    <w:rsid w:val="00015F77"/>
    <w:rsid w:val="00016016"/>
    <w:rsid w:val="000160A9"/>
    <w:rsid w:val="00016AF9"/>
    <w:rsid w:val="00017EDA"/>
    <w:rsid w:val="00020401"/>
    <w:rsid w:val="00020925"/>
    <w:rsid w:val="00020ADB"/>
    <w:rsid w:val="000214FB"/>
    <w:rsid w:val="0002157B"/>
    <w:rsid w:val="000219F5"/>
    <w:rsid w:val="00021D86"/>
    <w:rsid w:val="00022373"/>
    <w:rsid w:val="00022BC4"/>
    <w:rsid w:val="0002305A"/>
    <w:rsid w:val="00023439"/>
    <w:rsid w:val="000236A3"/>
    <w:rsid w:val="00023A1B"/>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0FB4"/>
    <w:rsid w:val="00031536"/>
    <w:rsid w:val="00031924"/>
    <w:rsid w:val="0003194C"/>
    <w:rsid w:val="000321B5"/>
    <w:rsid w:val="000322AE"/>
    <w:rsid w:val="00032920"/>
    <w:rsid w:val="000329E1"/>
    <w:rsid w:val="00032EFF"/>
    <w:rsid w:val="00033135"/>
    <w:rsid w:val="00033193"/>
    <w:rsid w:val="000339EA"/>
    <w:rsid w:val="00033DDE"/>
    <w:rsid w:val="00033EF5"/>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40FC"/>
    <w:rsid w:val="000446CF"/>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95F"/>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89A"/>
    <w:rsid w:val="00074C1F"/>
    <w:rsid w:val="00074EC2"/>
    <w:rsid w:val="0007548F"/>
    <w:rsid w:val="00075B8D"/>
    <w:rsid w:val="00075E03"/>
    <w:rsid w:val="000763E6"/>
    <w:rsid w:val="000767D1"/>
    <w:rsid w:val="00076B0F"/>
    <w:rsid w:val="00076C26"/>
    <w:rsid w:val="00076C8F"/>
    <w:rsid w:val="00077898"/>
    <w:rsid w:val="000778E0"/>
    <w:rsid w:val="00077AF8"/>
    <w:rsid w:val="00080849"/>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6D03"/>
    <w:rsid w:val="0008734C"/>
    <w:rsid w:val="00087858"/>
    <w:rsid w:val="00090073"/>
    <w:rsid w:val="00090ED4"/>
    <w:rsid w:val="000917DB"/>
    <w:rsid w:val="00091F15"/>
    <w:rsid w:val="00091F51"/>
    <w:rsid w:val="0009343C"/>
    <w:rsid w:val="000934B5"/>
    <w:rsid w:val="00093B47"/>
    <w:rsid w:val="0009408B"/>
    <w:rsid w:val="000942A1"/>
    <w:rsid w:val="0009580C"/>
    <w:rsid w:val="00096037"/>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4D1"/>
    <w:rsid w:val="000A453D"/>
    <w:rsid w:val="000A4E95"/>
    <w:rsid w:val="000A4FCB"/>
    <w:rsid w:val="000A596D"/>
    <w:rsid w:val="000A5A37"/>
    <w:rsid w:val="000A5CFC"/>
    <w:rsid w:val="000A66CF"/>
    <w:rsid w:val="000A6A20"/>
    <w:rsid w:val="000A6FE8"/>
    <w:rsid w:val="000A7332"/>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03"/>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5B84"/>
    <w:rsid w:val="000C612B"/>
    <w:rsid w:val="000C6216"/>
    <w:rsid w:val="000C621D"/>
    <w:rsid w:val="000C658B"/>
    <w:rsid w:val="000C662C"/>
    <w:rsid w:val="000C67B3"/>
    <w:rsid w:val="000C6987"/>
    <w:rsid w:val="000C6E02"/>
    <w:rsid w:val="000C717A"/>
    <w:rsid w:val="000C772F"/>
    <w:rsid w:val="000C7BB9"/>
    <w:rsid w:val="000D0027"/>
    <w:rsid w:val="000D0335"/>
    <w:rsid w:val="000D08C9"/>
    <w:rsid w:val="000D1281"/>
    <w:rsid w:val="000D1577"/>
    <w:rsid w:val="000D2B90"/>
    <w:rsid w:val="000D338E"/>
    <w:rsid w:val="000D38C0"/>
    <w:rsid w:val="000D3912"/>
    <w:rsid w:val="000D4B1B"/>
    <w:rsid w:val="000D56E8"/>
    <w:rsid w:val="000D59AC"/>
    <w:rsid w:val="000D5A2D"/>
    <w:rsid w:val="000D5A30"/>
    <w:rsid w:val="000D6626"/>
    <w:rsid w:val="000D6D54"/>
    <w:rsid w:val="000D6FFB"/>
    <w:rsid w:val="000D7412"/>
    <w:rsid w:val="000D7D65"/>
    <w:rsid w:val="000E0C7D"/>
    <w:rsid w:val="000E14B3"/>
    <w:rsid w:val="000E166B"/>
    <w:rsid w:val="000E1BB5"/>
    <w:rsid w:val="000E27CF"/>
    <w:rsid w:val="000E293C"/>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C5C"/>
    <w:rsid w:val="000F2F02"/>
    <w:rsid w:val="000F3186"/>
    <w:rsid w:val="000F35FB"/>
    <w:rsid w:val="000F3B28"/>
    <w:rsid w:val="000F3DCF"/>
    <w:rsid w:val="000F468C"/>
    <w:rsid w:val="000F4E44"/>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34C"/>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070B7"/>
    <w:rsid w:val="00107491"/>
    <w:rsid w:val="001101AE"/>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4EC5"/>
    <w:rsid w:val="00125226"/>
    <w:rsid w:val="001252C5"/>
    <w:rsid w:val="00125E2D"/>
    <w:rsid w:val="001260AD"/>
    <w:rsid w:val="001272D7"/>
    <w:rsid w:val="001273A9"/>
    <w:rsid w:val="00127D01"/>
    <w:rsid w:val="00130026"/>
    <w:rsid w:val="001305EF"/>
    <w:rsid w:val="00130677"/>
    <w:rsid w:val="001306B7"/>
    <w:rsid w:val="00130883"/>
    <w:rsid w:val="00130D02"/>
    <w:rsid w:val="00130DEB"/>
    <w:rsid w:val="00130F0A"/>
    <w:rsid w:val="00131070"/>
    <w:rsid w:val="00131636"/>
    <w:rsid w:val="00131735"/>
    <w:rsid w:val="00131E70"/>
    <w:rsid w:val="00131E9B"/>
    <w:rsid w:val="0013201C"/>
    <w:rsid w:val="0013206C"/>
    <w:rsid w:val="00132111"/>
    <w:rsid w:val="001323F1"/>
    <w:rsid w:val="001338E2"/>
    <w:rsid w:val="00134041"/>
    <w:rsid w:val="00134091"/>
    <w:rsid w:val="001351F1"/>
    <w:rsid w:val="0013568D"/>
    <w:rsid w:val="00135B09"/>
    <w:rsid w:val="00136167"/>
    <w:rsid w:val="001366B0"/>
    <w:rsid w:val="00136B00"/>
    <w:rsid w:val="00136CBF"/>
    <w:rsid w:val="00136F57"/>
    <w:rsid w:val="001372E1"/>
    <w:rsid w:val="00137807"/>
    <w:rsid w:val="00137C84"/>
    <w:rsid w:val="00137D78"/>
    <w:rsid w:val="00137DCC"/>
    <w:rsid w:val="0014005D"/>
    <w:rsid w:val="00140140"/>
    <w:rsid w:val="00140B34"/>
    <w:rsid w:val="00141644"/>
    <w:rsid w:val="00141B12"/>
    <w:rsid w:val="00141B7B"/>
    <w:rsid w:val="00141BAC"/>
    <w:rsid w:val="00142064"/>
    <w:rsid w:val="001428CA"/>
    <w:rsid w:val="001432F0"/>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6A9"/>
    <w:rsid w:val="00156F9B"/>
    <w:rsid w:val="001575E9"/>
    <w:rsid w:val="00157970"/>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1CAE"/>
    <w:rsid w:val="001729D3"/>
    <w:rsid w:val="00172DC0"/>
    <w:rsid w:val="0017329A"/>
    <w:rsid w:val="00173BAD"/>
    <w:rsid w:val="00173F96"/>
    <w:rsid w:val="00174AA3"/>
    <w:rsid w:val="00174EC2"/>
    <w:rsid w:val="0017551C"/>
    <w:rsid w:val="001756C2"/>
    <w:rsid w:val="00175715"/>
    <w:rsid w:val="00175CD8"/>
    <w:rsid w:val="00176645"/>
    <w:rsid w:val="00176ED6"/>
    <w:rsid w:val="00177943"/>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08E"/>
    <w:rsid w:val="0019597A"/>
    <w:rsid w:val="00195BE2"/>
    <w:rsid w:val="001964F8"/>
    <w:rsid w:val="00196643"/>
    <w:rsid w:val="001967D5"/>
    <w:rsid w:val="001969BE"/>
    <w:rsid w:val="00196E2D"/>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761"/>
    <w:rsid w:val="001B286C"/>
    <w:rsid w:val="001B2CDB"/>
    <w:rsid w:val="001B3AFA"/>
    <w:rsid w:val="001B4146"/>
    <w:rsid w:val="001B479F"/>
    <w:rsid w:val="001B488B"/>
    <w:rsid w:val="001B4B04"/>
    <w:rsid w:val="001B4C59"/>
    <w:rsid w:val="001B5086"/>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4FF"/>
    <w:rsid w:val="001C6501"/>
    <w:rsid w:val="001C69CF"/>
    <w:rsid w:val="001C6A2E"/>
    <w:rsid w:val="001C6BAD"/>
    <w:rsid w:val="001C6E22"/>
    <w:rsid w:val="001C72E8"/>
    <w:rsid w:val="001C7625"/>
    <w:rsid w:val="001D0853"/>
    <w:rsid w:val="001D1A64"/>
    <w:rsid w:val="001D202B"/>
    <w:rsid w:val="001D23C2"/>
    <w:rsid w:val="001D241B"/>
    <w:rsid w:val="001D2ABA"/>
    <w:rsid w:val="001D2C8A"/>
    <w:rsid w:val="001D3830"/>
    <w:rsid w:val="001D3D25"/>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51C"/>
    <w:rsid w:val="001E59BA"/>
    <w:rsid w:val="001E59E0"/>
    <w:rsid w:val="001E6AB1"/>
    <w:rsid w:val="001E6CF5"/>
    <w:rsid w:val="001E7244"/>
    <w:rsid w:val="001E766E"/>
    <w:rsid w:val="001E7990"/>
    <w:rsid w:val="001F087B"/>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A90"/>
    <w:rsid w:val="001F6DE9"/>
    <w:rsid w:val="001F6EFC"/>
    <w:rsid w:val="001F74C3"/>
    <w:rsid w:val="001F7BB2"/>
    <w:rsid w:val="001F7D48"/>
    <w:rsid w:val="001F7E57"/>
    <w:rsid w:val="00200434"/>
    <w:rsid w:val="0020044D"/>
    <w:rsid w:val="0020051C"/>
    <w:rsid w:val="00200DBD"/>
    <w:rsid w:val="00200FC8"/>
    <w:rsid w:val="002027D9"/>
    <w:rsid w:val="00202B08"/>
    <w:rsid w:val="00202BC3"/>
    <w:rsid w:val="00203389"/>
    <w:rsid w:val="00203804"/>
    <w:rsid w:val="002046F8"/>
    <w:rsid w:val="0020478D"/>
    <w:rsid w:val="00204B3A"/>
    <w:rsid w:val="00204CD7"/>
    <w:rsid w:val="00205244"/>
    <w:rsid w:val="002059DF"/>
    <w:rsid w:val="00205C67"/>
    <w:rsid w:val="00205DC1"/>
    <w:rsid w:val="00205F2A"/>
    <w:rsid w:val="00207064"/>
    <w:rsid w:val="002072BD"/>
    <w:rsid w:val="00207A93"/>
    <w:rsid w:val="00207CC5"/>
    <w:rsid w:val="00207D20"/>
    <w:rsid w:val="00207ED9"/>
    <w:rsid w:val="002104D2"/>
    <w:rsid w:val="00210691"/>
    <w:rsid w:val="00210967"/>
    <w:rsid w:val="00210DD3"/>
    <w:rsid w:val="002113D4"/>
    <w:rsid w:val="002120D2"/>
    <w:rsid w:val="00212D47"/>
    <w:rsid w:val="00212DAD"/>
    <w:rsid w:val="0021369D"/>
    <w:rsid w:val="00214071"/>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2B"/>
    <w:rsid w:val="0022066D"/>
    <w:rsid w:val="0022086B"/>
    <w:rsid w:val="002208A0"/>
    <w:rsid w:val="00221095"/>
    <w:rsid w:val="0022170A"/>
    <w:rsid w:val="00222433"/>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95B"/>
    <w:rsid w:val="00227C15"/>
    <w:rsid w:val="00227E07"/>
    <w:rsid w:val="00230D63"/>
    <w:rsid w:val="002312F4"/>
    <w:rsid w:val="0023131B"/>
    <w:rsid w:val="002314F8"/>
    <w:rsid w:val="00231C4E"/>
    <w:rsid w:val="00231FC7"/>
    <w:rsid w:val="00232B4D"/>
    <w:rsid w:val="00232EC0"/>
    <w:rsid w:val="002332B9"/>
    <w:rsid w:val="002333AC"/>
    <w:rsid w:val="002335F9"/>
    <w:rsid w:val="0023360D"/>
    <w:rsid w:val="00233C5D"/>
    <w:rsid w:val="00233CB9"/>
    <w:rsid w:val="00233DFB"/>
    <w:rsid w:val="00234111"/>
    <w:rsid w:val="002343C6"/>
    <w:rsid w:val="002349B5"/>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5A"/>
    <w:rsid w:val="00244BA8"/>
    <w:rsid w:val="00244DA7"/>
    <w:rsid w:val="0024530E"/>
    <w:rsid w:val="00245F29"/>
    <w:rsid w:val="002461D1"/>
    <w:rsid w:val="00246F35"/>
    <w:rsid w:val="002472A0"/>
    <w:rsid w:val="00247A2E"/>
    <w:rsid w:val="00247A69"/>
    <w:rsid w:val="002502E0"/>
    <w:rsid w:val="002503CA"/>
    <w:rsid w:val="002505D9"/>
    <w:rsid w:val="0025091A"/>
    <w:rsid w:val="00250E25"/>
    <w:rsid w:val="00251230"/>
    <w:rsid w:val="0025148C"/>
    <w:rsid w:val="0025151D"/>
    <w:rsid w:val="0025156B"/>
    <w:rsid w:val="00251747"/>
    <w:rsid w:val="002518B4"/>
    <w:rsid w:val="00251C87"/>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1CE"/>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B7F"/>
    <w:rsid w:val="00262D8D"/>
    <w:rsid w:val="0026334E"/>
    <w:rsid w:val="002634D4"/>
    <w:rsid w:val="0026359C"/>
    <w:rsid w:val="0026381F"/>
    <w:rsid w:val="00263BE4"/>
    <w:rsid w:val="00263C2F"/>
    <w:rsid w:val="00263F1E"/>
    <w:rsid w:val="00264127"/>
    <w:rsid w:val="00264F32"/>
    <w:rsid w:val="00265292"/>
    <w:rsid w:val="002652D5"/>
    <w:rsid w:val="00265943"/>
    <w:rsid w:val="00265A60"/>
    <w:rsid w:val="00265A76"/>
    <w:rsid w:val="00265E93"/>
    <w:rsid w:val="00265FB1"/>
    <w:rsid w:val="002661DA"/>
    <w:rsid w:val="00266830"/>
    <w:rsid w:val="00266FC3"/>
    <w:rsid w:val="00267410"/>
    <w:rsid w:val="00267544"/>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18"/>
    <w:rsid w:val="002910EE"/>
    <w:rsid w:val="0029170E"/>
    <w:rsid w:val="002927DE"/>
    <w:rsid w:val="00292908"/>
    <w:rsid w:val="00292B5F"/>
    <w:rsid w:val="00292F2F"/>
    <w:rsid w:val="00292FC1"/>
    <w:rsid w:val="00293688"/>
    <w:rsid w:val="00294361"/>
    <w:rsid w:val="00294B67"/>
    <w:rsid w:val="00294E8F"/>
    <w:rsid w:val="00296DC9"/>
    <w:rsid w:val="00297370"/>
    <w:rsid w:val="00297BFB"/>
    <w:rsid w:val="00297CDF"/>
    <w:rsid w:val="00297E9D"/>
    <w:rsid w:val="00297FD6"/>
    <w:rsid w:val="002A00D4"/>
    <w:rsid w:val="002A00DD"/>
    <w:rsid w:val="002A0A2F"/>
    <w:rsid w:val="002A14C6"/>
    <w:rsid w:val="002A18CC"/>
    <w:rsid w:val="002A1A31"/>
    <w:rsid w:val="002A1F6A"/>
    <w:rsid w:val="002A23D9"/>
    <w:rsid w:val="002A2B47"/>
    <w:rsid w:val="002A3282"/>
    <w:rsid w:val="002A340D"/>
    <w:rsid w:val="002A34AD"/>
    <w:rsid w:val="002A352A"/>
    <w:rsid w:val="002A3C33"/>
    <w:rsid w:val="002A40FD"/>
    <w:rsid w:val="002A4A03"/>
    <w:rsid w:val="002A4D6B"/>
    <w:rsid w:val="002A5188"/>
    <w:rsid w:val="002A5BAB"/>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0A"/>
    <w:rsid w:val="002B3BC1"/>
    <w:rsid w:val="002B3ECB"/>
    <w:rsid w:val="002B4816"/>
    <w:rsid w:val="002B4C8C"/>
    <w:rsid w:val="002B5565"/>
    <w:rsid w:val="002B5808"/>
    <w:rsid w:val="002B59FC"/>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1ED"/>
    <w:rsid w:val="002C3C8A"/>
    <w:rsid w:val="002C5700"/>
    <w:rsid w:val="002C5A0A"/>
    <w:rsid w:val="002C61AC"/>
    <w:rsid w:val="002C631D"/>
    <w:rsid w:val="002C6990"/>
    <w:rsid w:val="002C69E5"/>
    <w:rsid w:val="002C6F94"/>
    <w:rsid w:val="002C7402"/>
    <w:rsid w:val="002C776C"/>
    <w:rsid w:val="002C7829"/>
    <w:rsid w:val="002C7C2B"/>
    <w:rsid w:val="002D0792"/>
    <w:rsid w:val="002D08B4"/>
    <w:rsid w:val="002D1181"/>
    <w:rsid w:val="002D18AA"/>
    <w:rsid w:val="002D1960"/>
    <w:rsid w:val="002D1B3F"/>
    <w:rsid w:val="002D2E20"/>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D7DCD"/>
    <w:rsid w:val="002E03A9"/>
    <w:rsid w:val="002E054C"/>
    <w:rsid w:val="002E0814"/>
    <w:rsid w:val="002E08F5"/>
    <w:rsid w:val="002E1C71"/>
    <w:rsid w:val="002E1D5A"/>
    <w:rsid w:val="002E1DA5"/>
    <w:rsid w:val="002E2E08"/>
    <w:rsid w:val="002E35DC"/>
    <w:rsid w:val="002E4C7F"/>
    <w:rsid w:val="002E4F10"/>
    <w:rsid w:val="002E5152"/>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1089"/>
    <w:rsid w:val="00301111"/>
    <w:rsid w:val="0030128C"/>
    <w:rsid w:val="00301AA6"/>
    <w:rsid w:val="00301D6C"/>
    <w:rsid w:val="00302188"/>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5CBB"/>
    <w:rsid w:val="003273C6"/>
    <w:rsid w:val="00327A6E"/>
    <w:rsid w:val="00327C84"/>
    <w:rsid w:val="003300BD"/>
    <w:rsid w:val="00330797"/>
    <w:rsid w:val="003309F4"/>
    <w:rsid w:val="00331C6A"/>
    <w:rsid w:val="0033218F"/>
    <w:rsid w:val="00332625"/>
    <w:rsid w:val="00332709"/>
    <w:rsid w:val="00332A58"/>
    <w:rsid w:val="00333185"/>
    <w:rsid w:val="00333319"/>
    <w:rsid w:val="00333594"/>
    <w:rsid w:val="00333E46"/>
    <w:rsid w:val="0033404E"/>
    <w:rsid w:val="003345AB"/>
    <w:rsid w:val="0033464F"/>
    <w:rsid w:val="00334AA0"/>
    <w:rsid w:val="00334C64"/>
    <w:rsid w:val="00334FCF"/>
    <w:rsid w:val="003350C7"/>
    <w:rsid w:val="00335473"/>
    <w:rsid w:val="00335F0B"/>
    <w:rsid w:val="00336738"/>
    <w:rsid w:val="00336B61"/>
    <w:rsid w:val="003370DD"/>
    <w:rsid w:val="0033715B"/>
    <w:rsid w:val="00340EC0"/>
    <w:rsid w:val="00340FB3"/>
    <w:rsid w:val="0034111C"/>
    <w:rsid w:val="003411BB"/>
    <w:rsid w:val="003412C8"/>
    <w:rsid w:val="00341AF3"/>
    <w:rsid w:val="00341B77"/>
    <w:rsid w:val="0034222E"/>
    <w:rsid w:val="003429AC"/>
    <w:rsid w:val="00342E17"/>
    <w:rsid w:val="00342E44"/>
    <w:rsid w:val="00343619"/>
    <w:rsid w:val="0034371C"/>
    <w:rsid w:val="0034376D"/>
    <w:rsid w:val="00343854"/>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777"/>
    <w:rsid w:val="00352D21"/>
    <w:rsid w:val="003530AE"/>
    <w:rsid w:val="0035312B"/>
    <w:rsid w:val="003533A1"/>
    <w:rsid w:val="00353440"/>
    <w:rsid w:val="003539D6"/>
    <w:rsid w:val="00353A43"/>
    <w:rsid w:val="00353A4D"/>
    <w:rsid w:val="00353A6B"/>
    <w:rsid w:val="00353A6C"/>
    <w:rsid w:val="00353E23"/>
    <w:rsid w:val="0035410D"/>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AF"/>
    <w:rsid w:val="003611E7"/>
    <w:rsid w:val="0036178F"/>
    <w:rsid w:val="00361A00"/>
    <w:rsid w:val="003620A4"/>
    <w:rsid w:val="0036294F"/>
    <w:rsid w:val="00362997"/>
    <w:rsid w:val="0036408B"/>
    <w:rsid w:val="003642A6"/>
    <w:rsid w:val="00364347"/>
    <w:rsid w:val="003649D3"/>
    <w:rsid w:val="00365B13"/>
    <w:rsid w:val="00365D8F"/>
    <w:rsid w:val="0036634E"/>
    <w:rsid w:val="0036652C"/>
    <w:rsid w:val="00366BC8"/>
    <w:rsid w:val="0036717B"/>
    <w:rsid w:val="00367473"/>
    <w:rsid w:val="00367F57"/>
    <w:rsid w:val="00370081"/>
    <w:rsid w:val="00371255"/>
    <w:rsid w:val="003716F5"/>
    <w:rsid w:val="0037170D"/>
    <w:rsid w:val="0037189D"/>
    <w:rsid w:val="00371BDF"/>
    <w:rsid w:val="00371C3B"/>
    <w:rsid w:val="00371D84"/>
    <w:rsid w:val="00372153"/>
    <w:rsid w:val="00372595"/>
    <w:rsid w:val="00372613"/>
    <w:rsid w:val="00372779"/>
    <w:rsid w:val="00372E81"/>
    <w:rsid w:val="00373124"/>
    <w:rsid w:val="0037381B"/>
    <w:rsid w:val="00373AE2"/>
    <w:rsid w:val="00373EAA"/>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126D"/>
    <w:rsid w:val="00382BC4"/>
    <w:rsid w:val="00382BF6"/>
    <w:rsid w:val="00383AF2"/>
    <w:rsid w:val="00384091"/>
    <w:rsid w:val="00384126"/>
    <w:rsid w:val="0038483B"/>
    <w:rsid w:val="00384D39"/>
    <w:rsid w:val="00384F0A"/>
    <w:rsid w:val="003850E6"/>
    <w:rsid w:val="003861E3"/>
    <w:rsid w:val="003864BB"/>
    <w:rsid w:val="0038671F"/>
    <w:rsid w:val="00386737"/>
    <w:rsid w:val="00386816"/>
    <w:rsid w:val="00386E68"/>
    <w:rsid w:val="00387238"/>
    <w:rsid w:val="0038752C"/>
    <w:rsid w:val="00387844"/>
    <w:rsid w:val="00387998"/>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4E7"/>
    <w:rsid w:val="003A791B"/>
    <w:rsid w:val="003B02A0"/>
    <w:rsid w:val="003B030B"/>
    <w:rsid w:val="003B0F00"/>
    <w:rsid w:val="003B15F7"/>
    <w:rsid w:val="003B195D"/>
    <w:rsid w:val="003B206A"/>
    <w:rsid w:val="003B2AC8"/>
    <w:rsid w:val="003B2D81"/>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2F"/>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12"/>
    <w:rsid w:val="003C5463"/>
    <w:rsid w:val="003C60FA"/>
    <w:rsid w:val="003C629D"/>
    <w:rsid w:val="003C66F8"/>
    <w:rsid w:val="003C6ACA"/>
    <w:rsid w:val="003C6BB3"/>
    <w:rsid w:val="003C6C35"/>
    <w:rsid w:val="003C6CA4"/>
    <w:rsid w:val="003C6E49"/>
    <w:rsid w:val="003C75D5"/>
    <w:rsid w:val="003C778B"/>
    <w:rsid w:val="003C78B6"/>
    <w:rsid w:val="003C79A7"/>
    <w:rsid w:val="003C7E14"/>
    <w:rsid w:val="003D01A6"/>
    <w:rsid w:val="003D01F4"/>
    <w:rsid w:val="003D04D4"/>
    <w:rsid w:val="003D053B"/>
    <w:rsid w:val="003D24D5"/>
    <w:rsid w:val="003D24F2"/>
    <w:rsid w:val="003D36EA"/>
    <w:rsid w:val="003D3B25"/>
    <w:rsid w:val="003D3D77"/>
    <w:rsid w:val="003D3E24"/>
    <w:rsid w:val="003D3E60"/>
    <w:rsid w:val="003D402B"/>
    <w:rsid w:val="003D43A7"/>
    <w:rsid w:val="003D4423"/>
    <w:rsid w:val="003D4A58"/>
    <w:rsid w:val="003D4B56"/>
    <w:rsid w:val="003D6825"/>
    <w:rsid w:val="003D69EB"/>
    <w:rsid w:val="003D6BC6"/>
    <w:rsid w:val="003D780C"/>
    <w:rsid w:val="003D7EDC"/>
    <w:rsid w:val="003E051E"/>
    <w:rsid w:val="003E0721"/>
    <w:rsid w:val="003E08CC"/>
    <w:rsid w:val="003E0C15"/>
    <w:rsid w:val="003E0D12"/>
    <w:rsid w:val="003E12EA"/>
    <w:rsid w:val="003E167D"/>
    <w:rsid w:val="003E172E"/>
    <w:rsid w:val="003E1C8A"/>
    <w:rsid w:val="003E2734"/>
    <w:rsid w:val="003E279F"/>
    <w:rsid w:val="003E32E1"/>
    <w:rsid w:val="003E3655"/>
    <w:rsid w:val="003E368E"/>
    <w:rsid w:val="003E3963"/>
    <w:rsid w:val="003E3FD0"/>
    <w:rsid w:val="003E4083"/>
    <w:rsid w:val="003E4570"/>
    <w:rsid w:val="003E4FE6"/>
    <w:rsid w:val="003E5F5C"/>
    <w:rsid w:val="003E64A3"/>
    <w:rsid w:val="003E6FF8"/>
    <w:rsid w:val="003E7064"/>
    <w:rsid w:val="003E758E"/>
    <w:rsid w:val="003F032D"/>
    <w:rsid w:val="003F0CD8"/>
    <w:rsid w:val="003F1052"/>
    <w:rsid w:val="003F1086"/>
    <w:rsid w:val="003F15C1"/>
    <w:rsid w:val="003F163F"/>
    <w:rsid w:val="003F1F3E"/>
    <w:rsid w:val="003F2578"/>
    <w:rsid w:val="003F3793"/>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635"/>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CE3"/>
    <w:rsid w:val="00414D64"/>
    <w:rsid w:val="00414DF1"/>
    <w:rsid w:val="004150F5"/>
    <w:rsid w:val="00415346"/>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27A0"/>
    <w:rsid w:val="00423AEC"/>
    <w:rsid w:val="004248EA"/>
    <w:rsid w:val="00424D56"/>
    <w:rsid w:val="00424FA7"/>
    <w:rsid w:val="00424FCB"/>
    <w:rsid w:val="004255A0"/>
    <w:rsid w:val="00425ACE"/>
    <w:rsid w:val="00425D09"/>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14F"/>
    <w:rsid w:val="00432924"/>
    <w:rsid w:val="00432AF8"/>
    <w:rsid w:val="00432BA6"/>
    <w:rsid w:val="004333F5"/>
    <w:rsid w:val="00433490"/>
    <w:rsid w:val="0043367C"/>
    <w:rsid w:val="00433C7B"/>
    <w:rsid w:val="0043445F"/>
    <w:rsid w:val="00434B64"/>
    <w:rsid w:val="00435596"/>
    <w:rsid w:val="004355DA"/>
    <w:rsid w:val="00435796"/>
    <w:rsid w:val="004357B9"/>
    <w:rsid w:val="00435933"/>
    <w:rsid w:val="00435E21"/>
    <w:rsid w:val="0043615B"/>
    <w:rsid w:val="00436950"/>
    <w:rsid w:val="004372CE"/>
    <w:rsid w:val="004373B9"/>
    <w:rsid w:val="0043777E"/>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EEA"/>
    <w:rsid w:val="00445FF7"/>
    <w:rsid w:val="004460C0"/>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67EC"/>
    <w:rsid w:val="0046727A"/>
    <w:rsid w:val="004674AA"/>
    <w:rsid w:val="004677CC"/>
    <w:rsid w:val="00467920"/>
    <w:rsid w:val="00467C7A"/>
    <w:rsid w:val="00467E89"/>
    <w:rsid w:val="004701D9"/>
    <w:rsid w:val="004704F0"/>
    <w:rsid w:val="004710E6"/>
    <w:rsid w:val="00471603"/>
    <w:rsid w:val="00471A07"/>
    <w:rsid w:val="004721D5"/>
    <w:rsid w:val="004724E0"/>
    <w:rsid w:val="004726E2"/>
    <w:rsid w:val="00472DBC"/>
    <w:rsid w:val="00473924"/>
    <w:rsid w:val="00474182"/>
    <w:rsid w:val="00474255"/>
    <w:rsid w:val="00474A34"/>
    <w:rsid w:val="00474EA8"/>
    <w:rsid w:val="00475329"/>
    <w:rsid w:val="00475688"/>
    <w:rsid w:val="004756A4"/>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737"/>
    <w:rsid w:val="00483ADC"/>
    <w:rsid w:val="00483B04"/>
    <w:rsid w:val="00483C8E"/>
    <w:rsid w:val="00483F69"/>
    <w:rsid w:val="00484452"/>
    <w:rsid w:val="00484550"/>
    <w:rsid w:val="004845F8"/>
    <w:rsid w:val="00486BFC"/>
    <w:rsid w:val="00486D10"/>
    <w:rsid w:val="00486D1A"/>
    <w:rsid w:val="00487291"/>
    <w:rsid w:val="00487495"/>
    <w:rsid w:val="00487E07"/>
    <w:rsid w:val="00487E0D"/>
    <w:rsid w:val="00490B88"/>
    <w:rsid w:val="00490BE2"/>
    <w:rsid w:val="00491695"/>
    <w:rsid w:val="0049178A"/>
    <w:rsid w:val="004918A2"/>
    <w:rsid w:val="00492CF8"/>
    <w:rsid w:val="004932B2"/>
    <w:rsid w:val="00493771"/>
    <w:rsid w:val="00493F45"/>
    <w:rsid w:val="00494461"/>
    <w:rsid w:val="004948FD"/>
    <w:rsid w:val="00495979"/>
    <w:rsid w:val="00495D35"/>
    <w:rsid w:val="00495FCE"/>
    <w:rsid w:val="004960FF"/>
    <w:rsid w:val="004962A9"/>
    <w:rsid w:val="004966C3"/>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9D7"/>
    <w:rsid w:val="004A6EA7"/>
    <w:rsid w:val="004A6EDD"/>
    <w:rsid w:val="004A711A"/>
    <w:rsid w:val="004A7241"/>
    <w:rsid w:val="004A7F02"/>
    <w:rsid w:val="004A7F28"/>
    <w:rsid w:val="004B0318"/>
    <w:rsid w:val="004B07B8"/>
    <w:rsid w:val="004B116F"/>
    <w:rsid w:val="004B15CB"/>
    <w:rsid w:val="004B18F6"/>
    <w:rsid w:val="004B1A8D"/>
    <w:rsid w:val="004B1A98"/>
    <w:rsid w:val="004B1C58"/>
    <w:rsid w:val="004B225B"/>
    <w:rsid w:val="004B36B5"/>
    <w:rsid w:val="004B39AB"/>
    <w:rsid w:val="004B3D07"/>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23B8"/>
    <w:rsid w:val="004C34FA"/>
    <w:rsid w:val="004C3558"/>
    <w:rsid w:val="004C3A13"/>
    <w:rsid w:val="004C4301"/>
    <w:rsid w:val="004C452A"/>
    <w:rsid w:val="004C510D"/>
    <w:rsid w:val="004C5700"/>
    <w:rsid w:val="004C600F"/>
    <w:rsid w:val="004C61B9"/>
    <w:rsid w:val="004C6867"/>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5EE"/>
    <w:rsid w:val="004D4614"/>
    <w:rsid w:val="004D4A5E"/>
    <w:rsid w:val="004D5567"/>
    <w:rsid w:val="004D5D00"/>
    <w:rsid w:val="004D5D4F"/>
    <w:rsid w:val="004D6436"/>
    <w:rsid w:val="004D6E54"/>
    <w:rsid w:val="004D744F"/>
    <w:rsid w:val="004D7B89"/>
    <w:rsid w:val="004D7E05"/>
    <w:rsid w:val="004E07BB"/>
    <w:rsid w:val="004E0BCB"/>
    <w:rsid w:val="004E0CAA"/>
    <w:rsid w:val="004E0F2A"/>
    <w:rsid w:val="004E1030"/>
    <w:rsid w:val="004E1230"/>
    <w:rsid w:val="004E1B3E"/>
    <w:rsid w:val="004E1D09"/>
    <w:rsid w:val="004E1DA7"/>
    <w:rsid w:val="004E2242"/>
    <w:rsid w:val="004E27A5"/>
    <w:rsid w:val="004E2C68"/>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383F"/>
    <w:rsid w:val="004F452D"/>
    <w:rsid w:val="004F4ED7"/>
    <w:rsid w:val="004F53B8"/>
    <w:rsid w:val="004F5835"/>
    <w:rsid w:val="004F5B88"/>
    <w:rsid w:val="004F5C6B"/>
    <w:rsid w:val="004F5C7E"/>
    <w:rsid w:val="004F64EC"/>
    <w:rsid w:val="004F72FD"/>
    <w:rsid w:val="004F76E2"/>
    <w:rsid w:val="004F7890"/>
    <w:rsid w:val="00500815"/>
    <w:rsid w:val="00501B1E"/>
    <w:rsid w:val="005023B2"/>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0819"/>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72B"/>
    <w:rsid w:val="00523F0C"/>
    <w:rsid w:val="00524DC5"/>
    <w:rsid w:val="00525454"/>
    <w:rsid w:val="005258B3"/>
    <w:rsid w:val="0052602F"/>
    <w:rsid w:val="00527A83"/>
    <w:rsid w:val="00527A8E"/>
    <w:rsid w:val="00527AC9"/>
    <w:rsid w:val="00527B01"/>
    <w:rsid w:val="0053004F"/>
    <w:rsid w:val="005300F9"/>
    <w:rsid w:val="00531D76"/>
    <w:rsid w:val="00531E99"/>
    <w:rsid w:val="00532279"/>
    <w:rsid w:val="005324D4"/>
    <w:rsid w:val="0053257D"/>
    <w:rsid w:val="005327CF"/>
    <w:rsid w:val="00532B17"/>
    <w:rsid w:val="0053328B"/>
    <w:rsid w:val="0053343A"/>
    <w:rsid w:val="005339B1"/>
    <w:rsid w:val="00533AC2"/>
    <w:rsid w:val="00533E88"/>
    <w:rsid w:val="00534181"/>
    <w:rsid w:val="005348FD"/>
    <w:rsid w:val="00535022"/>
    <w:rsid w:val="0053541F"/>
    <w:rsid w:val="00535467"/>
    <w:rsid w:val="00535E21"/>
    <w:rsid w:val="00536331"/>
    <w:rsid w:val="005368DE"/>
    <w:rsid w:val="00537CBB"/>
    <w:rsid w:val="00537E78"/>
    <w:rsid w:val="00540BBE"/>
    <w:rsid w:val="00541403"/>
    <w:rsid w:val="0054246B"/>
    <w:rsid w:val="005424D2"/>
    <w:rsid w:val="00543C04"/>
    <w:rsid w:val="005442D9"/>
    <w:rsid w:val="00544566"/>
    <w:rsid w:val="00544E3A"/>
    <w:rsid w:val="00545075"/>
    <w:rsid w:val="00545876"/>
    <w:rsid w:val="00545AF0"/>
    <w:rsid w:val="00545B98"/>
    <w:rsid w:val="00545ECF"/>
    <w:rsid w:val="005462A1"/>
    <w:rsid w:val="005463B4"/>
    <w:rsid w:val="00546783"/>
    <w:rsid w:val="00546869"/>
    <w:rsid w:val="00546E07"/>
    <w:rsid w:val="00546F27"/>
    <w:rsid w:val="00547846"/>
    <w:rsid w:val="005479AA"/>
    <w:rsid w:val="00547FF9"/>
    <w:rsid w:val="00550072"/>
    <w:rsid w:val="00550184"/>
    <w:rsid w:val="00550457"/>
    <w:rsid w:val="0055070C"/>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9F5"/>
    <w:rsid w:val="00556F40"/>
    <w:rsid w:val="005603B3"/>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343"/>
    <w:rsid w:val="00567D7A"/>
    <w:rsid w:val="00570594"/>
    <w:rsid w:val="00570682"/>
    <w:rsid w:val="005708FD"/>
    <w:rsid w:val="00571008"/>
    <w:rsid w:val="0057140A"/>
    <w:rsid w:val="00571541"/>
    <w:rsid w:val="00572105"/>
    <w:rsid w:val="005727F0"/>
    <w:rsid w:val="005728BE"/>
    <w:rsid w:val="00573181"/>
    <w:rsid w:val="00573805"/>
    <w:rsid w:val="00573AE1"/>
    <w:rsid w:val="005746CF"/>
    <w:rsid w:val="0057494D"/>
    <w:rsid w:val="00574BFF"/>
    <w:rsid w:val="00575D25"/>
    <w:rsid w:val="00575F6F"/>
    <w:rsid w:val="00576727"/>
    <w:rsid w:val="00576938"/>
    <w:rsid w:val="0057702D"/>
    <w:rsid w:val="005774C5"/>
    <w:rsid w:val="00577BDC"/>
    <w:rsid w:val="00577C07"/>
    <w:rsid w:val="00577D4E"/>
    <w:rsid w:val="00577E2B"/>
    <w:rsid w:val="00580536"/>
    <w:rsid w:val="00580926"/>
    <w:rsid w:val="00581169"/>
    <w:rsid w:val="00581285"/>
    <w:rsid w:val="00581B75"/>
    <w:rsid w:val="00581BF7"/>
    <w:rsid w:val="00582085"/>
    <w:rsid w:val="005822FB"/>
    <w:rsid w:val="005823E1"/>
    <w:rsid w:val="0058278D"/>
    <w:rsid w:val="0058286B"/>
    <w:rsid w:val="00582C16"/>
    <w:rsid w:val="00583094"/>
    <w:rsid w:val="0058319C"/>
    <w:rsid w:val="005832FF"/>
    <w:rsid w:val="005833D1"/>
    <w:rsid w:val="005841D8"/>
    <w:rsid w:val="00584B74"/>
    <w:rsid w:val="00584FB7"/>
    <w:rsid w:val="005852A4"/>
    <w:rsid w:val="00585431"/>
    <w:rsid w:val="00585D35"/>
    <w:rsid w:val="0058632E"/>
    <w:rsid w:val="005869C9"/>
    <w:rsid w:val="00586D2D"/>
    <w:rsid w:val="00587142"/>
    <w:rsid w:val="005872A0"/>
    <w:rsid w:val="005876BD"/>
    <w:rsid w:val="005879EE"/>
    <w:rsid w:val="00590081"/>
    <w:rsid w:val="00590918"/>
    <w:rsid w:val="00591F58"/>
    <w:rsid w:val="0059214E"/>
    <w:rsid w:val="00592244"/>
    <w:rsid w:val="005922B0"/>
    <w:rsid w:val="005927F5"/>
    <w:rsid w:val="00592805"/>
    <w:rsid w:val="00593C8C"/>
    <w:rsid w:val="0059429E"/>
    <w:rsid w:val="00594823"/>
    <w:rsid w:val="00595578"/>
    <w:rsid w:val="005961CA"/>
    <w:rsid w:val="00596310"/>
    <w:rsid w:val="00596734"/>
    <w:rsid w:val="0059694C"/>
    <w:rsid w:val="00596A67"/>
    <w:rsid w:val="00597466"/>
    <w:rsid w:val="005977CC"/>
    <w:rsid w:val="00597A10"/>
    <w:rsid w:val="005A0660"/>
    <w:rsid w:val="005A0683"/>
    <w:rsid w:val="005A089C"/>
    <w:rsid w:val="005A0BE7"/>
    <w:rsid w:val="005A0F20"/>
    <w:rsid w:val="005A1296"/>
    <w:rsid w:val="005A138C"/>
    <w:rsid w:val="005A1628"/>
    <w:rsid w:val="005A1D91"/>
    <w:rsid w:val="005A298B"/>
    <w:rsid w:val="005A2E71"/>
    <w:rsid w:val="005A3049"/>
    <w:rsid w:val="005A33F8"/>
    <w:rsid w:val="005A38F3"/>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247"/>
    <w:rsid w:val="005B0319"/>
    <w:rsid w:val="005B0472"/>
    <w:rsid w:val="005B10D4"/>
    <w:rsid w:val="005B1651"/>
    <w:rsid w:val="005B165C"/>
    <w:rsid w:val="005B1957"/>
    <w:rsid w:val="005B1ACF"/>
    <w:rsid w:val="005B1B24"/>
    <w:rsid w:val="005B1F27"/>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EE3"/>
    <w:rsid w:val="005C4450"/>
    <w:rsid w:val="005C502F"/>
    <w:rsid w:val="005C59E6"/>
    <w:rsid w:val="005C5A64"/>
    <w:rsid w:val="005C5ED7"/>
    <w:rsid w:val="005C5F96"/>
    <w:rsid w:val="005C6A95"/>
    <w:rsid w:val="005C6E40"/>
    <w:rsid w:val="005C730C"/>
    <w:rsid w:val="005C748C"/>
    <w:rsid w:val="005C7F0B"/>
    <w:rsid w:val="005D0100"/>
    <w:rsid w:val="005D05E3"/>
    <w:rsid w:val="005D0890"/>
    <w:rsid w:val="005D0D24"/>
    <w:rsid w:val="005D100E"/>
    <w:rsid w:val="005D10BA"/>
    <w:rsid w:val="005D1447"/>
    <w:rsid w:val="005D186D"/>
    <w:rsid w:val="005D198E"/>
    <w:rsid w:val="005D22A1"/>
    <w:rsid w:val="005D332F"/>
    <w:rsid w:val="005D353F"/>
    <w:rsid w:val="005D36FD"/>
    <w:rsid w:val="005D39A4"/>
    <w:rsid w:val="005D3B3E"/>
    <w:rsid w:val="005D4892"/>
    <w:rsid w:val="005D5435"/>
    <w:rsid w:val="005D5B3C"/>
    <w:rsid w:val="005D61F6"/>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A7C"/>
    <w:rsid w:val="005E1DAD"/>
    <w:rsid w:val="005E23F1"/>
    <w:rsid w:val="005E2455"/>
    <w:rsid w:val="005E2914"/>
    <w:rsid w:val="005E377D"/>
    <w:rsid w:val="005E38B2"/>
    <w:rsid w:val="005E38C4"/>
    <w:rsid w:val="005E40EE"/>
    <w:rsid w:val="005E4C5C"/>
    <w:rsid w:val="005E5A6D"/>
    <w:rsid w:val="005E6405"/>
    <w:rsid w:val="005E65D7"/>
    <w:rsid w:val="005E672F"/>
    <w:rsid w:val="005E7004"/>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AFF"/>
    <w:rsid w:val="005F3BA1"/>
    <w:rsid w:val="005F3EFD"/>
    <w:rsid w:val="005F4595"/>
    <w:rsid w:val="005F465A"/>
    <w:rsid w:val="005F4827"/>
    <w:rsid w:val="005F4B68"/>
    <w:rsid w:val="005F4BAA"/>
    <w:rsid w:val="005F4BFF"/>
    <w:rsid w:val="005F5A73"/>
    <w:rsid w:val="005F5BD6"/>
    <w:rsid w:val="005F5DE8"/>
    <w:rsid w:val="005F61A7"/>
    <w:rsid w:val="005F6AFD"/>
    <w:rsid w:val="005F6B7D"/>
    <w:rsid w:val="005F6E34"/>
    <w:rsid w:val="005F7562"/>
    <w:rsid w:val="006004FE"/>
    <w:rsid w:val="006005C6"/>
    <w:rsid w:val="00600723"/>
    <w:rsid w:val="00600ACF"/>
    <w:rsid w:val="00600D82"/>
    <w:rsid w:val="00600ED3"/>
    <w:rsid w:val="006017E3"/>
    <w:rsid w:val="006018E8"/>
    <w:rsid w:val="00601914"/>
    <w:rsid w:val="00602FD6"/>
    <w:rsid w:val="00603167"/>
    <w:rsid w:val="0060345F"/>
    <w:rsid w:val="00603492"/>
    <w:rsid w:val="006035AE"/>
    <w:rsid w:val="0060440B"/>
    <w:rsid w:val="0060454C"/>
    <w:rsid w:val="00604761"/>
    <w:rsid w:val="00604FF0"/>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5C24"/>
    <w:rsid w:val="00616260"/>
    <w:rsid w:val="006166B2"/>
    <w:rsid w:val="00616781"/>
    <w:rsid w:val="006169A4"/>
    <w:rsid w:val="00617102"/>
    <w:rsid w:val="00617E64"/>
    <w:rsid w:val="00617F8F"/>
    <w:rsid w:val="006200B4"/>
    <w:rsid w:val="0062021A"/>
    <w:rsid w:val="006202B1"/>
    <w:rsid w:val="006209AA"/>
    <w:rsid w:val="006209EE"/>
    <w:rsid w:val="00620FBD"/>
    <w:rsid w:val="0062164D"/>
    <w:rsid w:val="00621770"/>
    <w:rsid w:val="006218C7"/>
    <w:rsid w:val="00621DFE"/>
    <w:rsid w:val="0062215F"/>
    <w:rsid w:val="00622702"/>
    <w:rsid w:val="0062286A"/>
    <w:rsid w:val="00622F66"/>
    <w:rsid w:val="006230F7"/>
    <w:rsid w:val="006235FC"/>
    <w:rsid w:val="00625A3C"/>
    <w:rsid w:val="00625BD0"/>
    <w:rsid w:val="00625EE2"/>
    <w:rsid w:val="00626381"/>
    <w:rsid w:val="00626401"/>
    <w:rsid w:val="006265DD"/>
    <w:rsid w:val="0062693E"/>
    <w:rsid w:val="00627240"/>
    <w:rsid w:val="00627465"/>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D9A"/>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4D50"/>
    <w:rsid w:val="00645AAA"/>
    <w:rsid w:val="00645BCA"/>
    <w:rsid w:val="00645FB8"/>
    <w:rsid w:val="00646C13"/>
    <w:rsid w:val="00646C41"/>
    <w:rsid w:val="00647276"/>
    <w:rsid w:val="00647AB0"/>
    <w:rsid w:val="0065002A"/>
    <w:rsid w:val="006509A4"/>
    <w:rsid w:val="00650B1E"/>
    <w:rsid w:val="00650C35"/>
    <w:rsid w:val="0065205B"/>
    <w:rsid w:val="0065230C"/>
    <w:rsid w:val="00652518"/>
    <w:rsid w:val="00653404"/>
    <w:rsid w:val="0065357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3C6"/>
    <w:rsid w:val="0066174C"/>
    <w:rsid w:val="006625C1"/>
    <w:rsid w:val="006627E7"/>
    <w:rsid w:val="00662C69"/>
    <w:rsid w:val="006630FA"/>
    <w:rsid w:val="006635FD"/>
    <w:rsid w:val="006641A3"/>
    <w:rsid w:val="006644F9"/>
    <w:rsid w:val="006648C1"/>
    <w:rsid w:val="00664E8F"/>
    <w:rsid w:val="0066531F"/>
    <w:rsid w:val="006653B2"/>
    <w:rsid w:val="00665532"/>
    <w:rsid w:val="00665BBF"/>
    <w:rsid w:val="00665C44"/>
    <w:rsid w:val="006663BF"/>
    <w:rsid w:val="00666447"/>
    <w:rsid w:val="006675BA"/>
    <w:rsid w:val="00667912"/>
    <w:rsid w:val="006679FE"/>
    <w:rsid w:val="00667DED"/>
    <w:rsid w:val="0067013D"/>
    <w:rsid w:val="0067024D"/>
    <w:rsid w:val="00670694"/>
    <w:rsid w:val="006706CD"/>
    <w:rsid w:val="006717A3"/>
    <w:rsid w:val="006719FE"/>
    <w:rsid w:val="00671C7D"/>
    <w:rsid w:val="00672309"/>
    <w:rsid w:val="00672864"/>
    <w:rsid w:val="00672FF1"/>
    <w:rsid w:val="006731C4"/>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7793D"/>
    <w:rsid w:val="00680725"/>
    <w:rsid w:val="00680DE0"/>
    <w:rsid w:val="00681339"/>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180"/>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1A69"/>
    <w:rsid w:val="00691EE5"/>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FB"/>
    <w:rsid w:val="006A1828"/>
    <w:rsid w:val="006A1EEA"/>
    <w:rsid w:val="006A1F6F"/>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C7F4D"/>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3E62"/>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4ED6"/>
    <w:rsid w:val="006E509D"/>
    <w:rsid w:val="006E580F"/>
    <w:rsid w:val="006E5A34"/>
    <w:rsid w:val="006E6613"/>
    <w:rsid w:val="006E6855"/>
    <w:rsid w:val="006E6BA3"/>
    <w:rsid w:val="006E6BAF"/>
    <w:rsid w:val="006E74F6"/>
    <w:rsid w:val="006E765E"/>
    <w:rsid w:val="006F0076"/>
    <w:rsid w:val="006F0081"/>
    <w:rsid w:val="006F009A"/>
    <w:rsid w:val="006F017D"/>
    <w:rsid w:val="006F03CF"/>
    <w:rsid w:val="006F0791"/>
    <w:rsid w:val="006F0873"/>
    <w:rsid w:val="006F0BCE"/>
    <w:rsid w:val="006F108D"/>
    <w:rsid w:val="006F11C8"/>
    <w:rsid w:val="006F138E"/>
    <w:rsid w:val="006F173E"/>
    <w:rsid w:val="006F1759"/>
    <w:rsid w:val="006F18CF"/>
    <w:rsid w:val="006F1C01"/>
    <w:rsid w:val="006F2234"/>
    <w:rsid w:val="006F2295"/>
    <w:rsid w:val="006F299B"/>
    <w:rsid w:val="006F2A97"/>
    <w:rsid w:val="006F382C"/>
    <w:rsid w:val="006F482C"/>
    <w:rsid w:val="006F4C8E"/>
    <w:rsid w:val="006F50C1"/>
    <w:rsid w:val="006F5779"/>
    <w:rsid w:val="006F5F5A"/>
    <w:rsid w:val="006F61C2"/>
    <w:rsid w:val="006F6552"/>
    <w:rsid w:val="006F679B"/>
    <w:rsid w:val="006F6B5E"/>
    <w:rsid w:val="006F6DE5"/>
    <w:rsid w:val="006F7557"/>
    <w:rsid w:val="006F7774"/>
    <w:rsid w:val="006F7BFE"/>
    <w:rsid w:val="00700083"/>
    <w:rsid w:val="00700806"/>
    <w:rsid w:val="007019E0"/>
    <w:rsid w:val="00701A74"/>
    <w:rsid w:val="00701B15"/>
    <w:rsid w:val="00701BD2"/>
    <w:rsid w:val="00701CED"/>
    <w:rsid w:val="00701FBB"/>
    <w:rsid w:val="00701FCD"/>
    <w:rsid w:val="00701FFC"/>
    <w:rsid w:val="007020CE"/>
    <w:rsid w:val="007023A5"/>
    <w:rsid w:val="007031EA"/>
    <w:rsid w:val="007032C9"/>
    <w:rsid w:val="00703651"/>
    <w:rsid w:val="00703723"/>
    <w:rsid w:val="00703795"/>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E74"/>
    <w:rsid w:val="00714FE6"/>
    <w:rsid w:val="0071627F"/>
    <w:rsid w:val="0071676A"/>
    <w:rsid w:val="00716E8B"/>
    <w:rsid w:val="00716EDB"/>
    <w:rsid w:val="0071705B"/>
    <w:rsid w:val="007178FF"/>
    <w:rsid w:val="00717978"/>
    <w:rsid w:val="0072002C"/>
    <w:rsid w:val="007200A1"/>
    <w:rsid w:val="007203EA"/>
    <w:rsid w:val="00720432"/>
    <w:rsid w:val="00720819"/>
    <w:rsid w:val="00720ACA"/>
    <w:rsid w:val="00720B30"/>
    <w:rsid w:val="00720FDF"/>
    <w:rsid w:val="007214EE"/>
    <w:rsid w:val="007218A2"/>
    <w:rsid w:val="00721CD1"/>
    <w:rsid w:val="0072235B"/>
    <w:rsid w:val="007229D4"/>
    <w:rsid w:val="00722F4F"/>
    <w:rsid w:val="00723515"/>
    <w:rsid w:val="00723585"/>
    <w:rsid w:val="00724375"/>
    <w:rsid w:val="0072442F"/>
    <w:rsid w:val="00724849"/>
    <w:rsid w:val="007253FE"/>
    <w:rsid w:val="00726200"/>
    <w:rsid w:val="00726285"/>
    <w:rsid w:val="00726344"/>
    <w:rsid w:val="00726439"/>
    <w:rsid w:val="00726C6F"/>
    <w:rsid w:val="00727DF5"/>
    <w:rsid w:val="00727FD1"/>
    <w:rsid w:val="00731A4B"/>
    <w:rsid w:val="00731D6F"/>
    <w:rsid w:val="00731F3E"/>
    <w:rsid w:val="00733392"/>
    <w:rsid w:val="0073413F"/>
    <w:rsid w:val="0073477D"/>
    <w:rsid w:val="007363C3"/>
    <w:rsid w:val="007365E3"/>
    <w:rsid w:val="00736A0C"/>
    <w:rsid w:val="00737667"/>
    <w:rsid w:val="0073782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21A"/>
    <w:rsid w:val="00745595"/>
    <w:rsid w:val="007455B8"/>
    <w:rsid w:val="00745693"/>
    <w:rsid w:val="00745E3C"/>
    <w:rsid w:val="00746196"/>
    <w:rsid w:val="007462B2"/>
    <w:rsid w:val="007463DC"/>
    <w:rsid w:val="00746B6D"/>
    <w:rsid w:val="00746C03"/>
    <w:rsid w:val="00746D00"/>
    <w:rsid w:val="00747513"/>
    <w:rsid w:val="00747833"/>
    <w:rsid w:val="00747BCC"/>
    <w:rsid w:val="00747DC7"/>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07C2"/>
    <w:rsid w:val="0076110B"/>
    <w:rsid w:val="007623B3"/>
    <w:rsid w:val="00762BB9"/>
    <w:rsid w:val="00763E73"/>
    <w:rsid w:val="00764DD1"/>
    <w:rsid w:val="007651BB"/>
    <w:rsid w:val="00765426"/>
    <w:rsid w:val="00765BDD"/>
    <w:rsid w:val="00765BE5"/>
    <w:rsid w:val="00766014"/>
    <w:rsid w:val="00766085"/>
    <w:rsid w:val="007662EF"/>
    <w:rsid w:val="007666E8"/>
    <w:rsid w:val="0076710B"/>
    <w:rsid w:val="00770162"/>
    <w:rsid w:val="0077075C"/>
    <w:rsid w:val="00770A02"/>
    <w:rsid w:val="00770C02"/>
    <w:rsid w:val="00771376"/>
    <w:rsid w:val="00771ED5"/>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AA3"/>
    <w:rsid w:val="00775BC0"/>
    <w:rsid w:val="00775BF3"/>
    <w:rsid w:val="00775F29"/>
    <w:rsid w:val="00776444"/>
    <w:rsid w:val="00776A22"/>
    <w:rsid w:val="00776C35"/>
    <w:rsid w:val="007770D2"/>
    <w:rsid w:val="00777172"/>
    <w:rsid w:val="00777654"/>
    <w:rsid w:val="00777A30"/>
    <w:rsid w:val="007808BA"/>
    <w:rsid w:val="0078134E"/>
    <w:rsid w:val="007821E8"/>
    <w:rsid w:val="0078241D"/>
    <w:rsid w:val="007827EE"/>
    <w:rsid w:val="00782AEA"/>
    <w:rsid w:val="00783708"/>
    <w:rsid w:val="00783D20"/>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6CB"/>
    <w:rsid w:val="00794895"/>
    <w:rsid w:val="00795228"/>
    <w:rsid w:val="00795F06"/>
    <w:rsid w:val="00796FB4"/>
    <w:rsid w:val="00797B5D"/>
    <w:rsid w:val="00797F10"/>
    <w:rsid w:val="00797FC7"/>
    <w:rsid w:val="007A037B"/>
    <w:rsid w:val="007A049F"/>
    <w:rsid w:val="007A07D8"/>
    <w:rsid w:val="007A095B"/>
    <w:rsid w:val="007A0A67"/>
    <w:rsid w:val="007A0D1C"/>
    <w:rsid w:val="007A13E6"/>
    <w:rsid w:val="007A27C8"/>
    <w:rsid w:val="007A28C3"/>
    <w:rsid w:val="007A2FB8"/>
    <w:rsid w:val="007A3167"/>
    <w:rsid w:val="007A3357"/>
    <w:rsid w:val="007A3BD5"/>
    <w:rsid w:val="007A44DC"/>
    <w:rsid w:val="007A47B1"/>
    <w:rsid w:val="007A4C27"/>
    <w:rsid w:val="007A4FCF"/>
    <w:rsid w:val="007A506F"/>
    <w:rsid w:val="007A51F0"/>
    <w:rsid w:val="007A5434"/>
    <w:rsid w:val="007A543F"/>
    <w:rsid w:val="007A5633"/>
    <w:rsid w:val="007A593C"/>
    <w:rsid w:val="007A596D"/>
    <w:rsid w:val="007A5C52"/>
    <w:rsid w:val="007A622C"/>
    <w:rsid w:val="007A6D08"/>
    <w:rsid w:val="007A6D6A"/>
    <w:rsid w:val="007A6FDB"/>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1F27"/>
    <w:rsid w:val="007C2086"/>
    <w:rsid w:val="007C2235"/>
    <w:rsid w:val="007C2739"/>
    <w:rsid w:val="007C27F7"/>
    <w:rsid w:val="007C2D4C"/>
    <w:rsid w:val="007C3162"/>
    <w:rsid w:val="007C3550"/>
    <w:rsid w:val="007C37F1"/>
    <w:rsid w:val="007C421B"/>
    <w:rsid w:val="007C49E1"/>
    <w:rsid w:val="007C4F84"/>
    <w:rsid w:val="007C528F"/>
    <w:rsid w:val="007C5435"/>
    <w:rsid w:val="007C5B54"/>
    <w:rsid w:val="007C6857"/>
    <w:rsid w:val="007C6B91"/>
    <w:rsid w:val="007C70E0"/>
    <w:rsid w:val="007C77FC"/>
    <w:rsid w:val="007C79D5"/>
    <w:rsid w:val="007D0275"/>
    <w:rsid w:val="007D0C44"/>
    <w:rsid w:val="007D0D6C"/>
    <w:rsid w:val="007D20AB"/>
    <w:rsid w:val="007D214D"/>
    <w:rsid w:val="007D2AA0"/>
    <w:rsid w:val="007D3A69"/>
    <w:rsid w:val="007D3B6C"/>
    <w:rsid w:val="007D4158"/>
    <w:rsid w:val="007D43D4"/>
    <w:rsid w:val="007D493E"/>
    <w:rsid w:val="007D4A01"/>
    <w:rsid w:val="007D51B4"/>
    <w:rsid w:val="007D536F"/>
    <w:rsid w:val="007D54DF"/>
    <w:rsid w:val="007D55FD"/>
    <w:rsid w:val="007D5CB8"/>
    <w:rsid w:val="007D5D3E"/>
    <w:rsid w:val="007D5E5C"/>
    <w:rsid w:val="007D6668"/>
    <w:rsid w:val="007D689B"/>
    <w:rsid w:val="007D6A87"/>
    <w:rsid w:val="007D6DFF"/>
    <w:rsid w:val="007D711D"/>
    <w:rsid w:val="007D7ABB"/>
    <w:rsid w:val="007E0590"/>
    <w:rsid w:val="007E0811"/>
    <w:rsid w:val="007E09EE"/>
    <w:rsid w:val="007E149C"/>
    <w:rsid w:val="007E1653"/>
    <w:rsid w:val="007E2344"/>
    <w:rsid w:val="007E30DA"/>
    <w:rsid w:val="007E33B2"/>
    <w:rsid w:val="007E3892"/>
    <w:rsid w:val="007E4777"/>
    <w:rsid w:val="007E4F09"/>
    <w:rsid w:val="007E5401"/>
    <w:rsid w:val="007E578D"/>
    <w:rsid w:val="007E57AA"/>
    <w:rsid w:val="007E5CFD"/>
    <w:rsid w:val="007E6002"/>
    <w:rsid w:val="007E6991"/>
    <w:rsid w:val="007E6C6F"/>
    <w:rsid w:val="007E7165"/>
    <w:rsid w:val="007E72D7"/>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2D1"/>
    <w:rsid w:val="007F58C9"/>
    <w:rsid w:val="007F617E"/>
    <w:rsid w:val="007F62FD"/>
    <w:rsid w:val="007F6BC4"/>
    <w:rsid w:val="007F7441"/>
    <w:rsid w:val="007F77A2"/>
    <w:rsid w:val="007F7852"/>
    <w:rsid w:val="007F7B07"/>
    <w:rsid w:val="00800257"/>
    <w:rsid w:val="008008B5"/>
    <w:rsid w:val="008009CB"/>
    <w:rsid w:val="008012D1"/>
    <w:rsid w:val="0080153E"/>
    <w:rsid w:val="00802240"/>
    <w:rsid w:val="008024BB"/>
    <w:rsid w:val="008027A8"/>
    <w:rsid w:val="00802AEC"/>
    <w:rsid w:val="00802DD2"/>
    <w:rsid w:val="00802DDF"/>
    <w:rsid w:val="00803657"/>
    <w:rsid w:val="0080396B"/>
    <w:rsid w:val="00803BD8"/>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C0C"/>
    <w:rsid w:val="00810FAD"/>
    <w:rsid w:val="00811111"/>
    <w:rsid w:val="008115CC"/>
    <w:rsid w:val="0081165C"/>
    <w:rsid w:val="00811884"/>
    <w:rsid w:val="00811D7F"/>
    <w:rsid w:val="00811EAF"/>
    <w:rsid w:val="00812228"/>
    <w:rsid w:val="00812905"/>
    <w:rsid w:val="008149BD"/>
    <w:rsid w:val="00814A98"/>
    <w:rsid w:val="00814ED9"/>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0DD"/>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416DB"/>
    <w:rsid w:val="0084171F"/>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0FA2"/>
    <w:rsid w:val="0085158E"/>
    <w:rsid w:val="00851AB3"/>
    <w:rsid w:val="00852137"/>
    <w:rsid w:val="0085231C"/>
    <w:rsid w:val="0085264B"/>
    <w:rsid w:val="008528FA"/>
    <w:rsid w:val="00852C83"/>
    <w:rsid w:val="0085321D"/>
    <w:rsid w:val="00853A3E"/>
    <w:rsid w:val="00853C6D"/>
    <w:rsid w:val="00853C75"/>
    <w:rsid w:val="008543D9"/>
    <w:rsid w:val="008548CC"/>
    <w:rsid w:val="00854D89"/>
    <w:rsid w:val="00855204"/>
    <w:rsid w:val="008553AD"/>
    <w:rsid w:val="008556E0"/>
    <w:rsid w:val="00855B02"/>
    <w:rsid w:val="00856096"/>
    <w:rsid w:val="00856353"/>
    <w:rsid w:val="0085682F"/>
    <w:rsid w:val="00857112"/>
    <w:rsid w:val="0085772C"/>
    <w:rsid w:val="00857D70"/>
    <w:rsid w:val="00860787"/>
    <w:rsid w:val="00860986"/>
    <w:rsid w:val="00860B57"/>
    <w:rsid w:val="008613FA"/>
    <w:rsid w:val="00862CF7"/>
    <w:rsid w:val="00863105"/>
    <w:rsid w:val="008632DA"/>
    <w:rsid w:val="00863361"/>
    <w:rsid w:val="00863604"/>
    <w:rsid w:val="00863C49"/>
    <w:rsid w:val="00864B95"/>
    <w:rsid w:val="008653C2"/>
    <w:rsid w:val="00865BE6"/>
    <w:rsid w:val="00865D8A"/>
    <w:rsid w:val="00865F81"/>
    <w:rsid w:val="0086656A"/>
    <w:rsid w:val="00866EF8"/>
    <w:rsid w:val="0086711D"/>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11F"/>
    <w:rsid w:val="0087378C"/>
    <w:rsid w:val="00873C8A"/>
    <w:rsid w:val="008743F3"/>
    <w:rsid w:val="0087444A"/>
    <w:rsid w:val="008744DD"/>
    <w:rsid w:val="008749AB"/>
    <w:rsid w:val="00874A86"/>
    <w:rsid w:val="00874B55"/>
    <w:rsid w:val="00874EEE"/>
    <w:rsid w:val="00875069"/>
    <w:rsid w:val="00875139"/>
    <w:rsid w:val="00875410"/>
    <w:rsid w:val="0087712E"/>
    <w:rsid w:val="00877AFB"/>
    <w:rsid w:val="00877B07"/>
    <w:rsid w:val="00880CEA"/>
    <w:rsid w:val="008815D1"/>
    <w:rsid w:val="0088190E"/>
    <w:rsid w:val="00881920"/>
    <w:rsid w:val="00881A9A"/>
    <w:rsid w:val="00881B33"/>
    <w:rsid w:val="00881C68"/>
    <w:rsid w:val="008823AA"/>
    <w:rsid w:val="00882419"/>
    <w:rsid w:val="00882EC6"/>
    <w:rsid w:val="00882F80"/>
    <w:rsid w:val="00883F87"/>
    <w:rsid w:val="0088427B"/>
    <w:rsid w:val="00884A01"/>
    <w:rsid w:val="00884B2B"/>
    <w:rsid w:val="00885017"/>
    <w:rsid w:val="0088525C"/>
    <w:rsid w:val="00885508"/>
    <w:rsid w:val="0088613E"/>
    <w:rsid w:val="00886210"/>
    <w:rsid w:val="008866D7"/>
    <w:rsid w:val="008868BC"/>
    <w:rsid w:val="008869C6"/>
    <w:rsid w:val="008873E8"/>
    <w:rsid w:val="008879A3"/>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B9B"/>
    <w:rsid w:val="008A3CC9"/>
    <w:rsid w:val="008A448B"/>
    <w:rsid w:val="008A4908"/>
    <w:rsid w:val="008A4A39"/>
    <w:rsid w:val="008A4BE7"/>
    <w:rsid w:val="008A4D55"/>
    <w:rsid w:val="008A61EC"/>
    <w:rsid w:val="008A6895"/>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2FE"/>
    <w:rsid w:val="008C15E1"/>
    <w:rsid w:val="008C178D"/>
    <w:rsid w:val="008C1912"/>
    <w:rsid w:val="008C2186"/>
    <w:rsid w:val="008C22E1"/>
    <w:rsid w:val="008C24DA"/>
    <w:rsid w:val="008C2CF1"/>
    <w:rsid w:val="008C3142"/>
    <w:rsid w:val="008C40F0"/>
    <w:rsid w:val="008C410A"/>
    <w:rsid w:val="008C5978"/>
    <w:rsid w:val="008C6516"/>
    <w:rsid w:val="008C6D9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03C"/>
    <w:rsid w:val="008E041E"/>
    <w:rsid w:val="008E0F52"/>
    <w:rsid w:val="008E135B"/>
    <w:rsid w:val="008E14D7"/>
    <w:rsid w:val="008E20F9"/>
    <w:rsid w:val="008E22E8"/>
    <w:rsid w:val="008E2343"/>
    <w:rsid w:val="008E296D"/>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29E"/>
    <w:rsid w:val="009063E6"/>
    <w:rsid w:val="0090653B"/>
    <w:rsid w:val="00906AF6"/>
    <w:rsid w:val="00907259"/>
    <w:rsid w:val="009072D4"/>
    <w:rsid w:val="00907418"/>
    <w:rsid w:val="00907E0A"/>
    <w:rsid w:val="0091019E"/>
    <w:rsid w:val="00910AFF"/>
    <w:rsid w:val="00911609"/>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5A3"/>
    <w:rsid w:val="009178AE"/>
    <w:rsid w:val="00917C15"/>
    <w:rsid w:val="00920223"/>
    <w:rsid w:val="009206A4"/>
    <w:rsid w:val="009207EC"/>
    <w:rsid w:val="009211DD"/>
    <w:rsid w:val="00921C83"/>
    <w:rsid w:val="009225F6"/>
    <w:rsid w:val="009233A9"/>
    <w:rsid w:val="009237FA"/>
    <w:rsid w:val="0092385F"/>
    <w:rsid w:val="009238B7"/>
    <w:rsid w:val="00923E6E"/>
    <w:rsid w:val="00924457"/>
    <w:rsid w:val="009244E1"/>
    <w:rsid w:val="0092488D"/>
    <w:rsid w:val="00925230"/>
    <w:rsid w:val="009256D9"/>
    <w:rsid w:val="00925888"/>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28"/>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68B"/>
    <w:rsid w:val="009479E4"/>
    <w:rsid w:val="00947A4B"/>
    <w:rsid w:val="00947FD0"/>
    <w:rsid w:val="00950A51"/>
    <w:rsid w:val="00950EE2"/>
    <w:rsid w:val="00952941"/>
    <w:rsid w:val="00952A36"/>
    <w:rsid w:val="00952C5F"/>
    <w:rsid w:val="00952DD3"/>
    <w:rsid w:val="0095416C"/>
    <w:rsid w:val="009544D2"/>
    <w:rsid w:val="009546A5"/>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084"/>
    <w:rsid w:val="00965400"/>
    <w:rsid w:val="00965640"/>
    <w:rsid w:val="009656A1"/>
    <w:rsid w:val="00965845"/>
    <w:rsid w:val="0096610A"/>
    <w:rsid w:val="00966186"/>
    <w:rsid w:val="00966525"/>
    <w:rsid w:val="0096756E"/>
    <w:rsid w:val="0097013A"/>
    <w:rsid w:val="0097110C"/>
    <w:rsid w:val="009711DC"/>
    <w:rsid w:val="009711F2"/>
    <w:rsid w:val="0097146B"/>
    <w:rsid w:val="00971506"/>
    <w:rsid w:val="009715FB"/>
    <w:rsid w:val="00971B0E"/>
    <w:rsid w:val="00971F69"/>
    <w:rsid w:val="009723A1"/>
    <w:rsid w:val="009725EE"/>
    <w:rsid w:val="009726D2"/>
    <w:rsid w:val="00972FE4"/>
    <w:rsid w:val="009730E7"/>
    <w:rsid w:val="009731EB"/>
    <w:rsid w:val="0097324C"/>
    <w:rsid w:val="0097330E"/>
    <w:rsid w:val="00973587"/>
    <w:rsid w:val="009738D1"/>
    <w:rsid w:val="00974DC5"/>
    <w:rsid w:val="00974EE8"/>
    <w:rsid w:val="00975DB9"/>
    <w:rsid w:val="00976034"/>
    <w:rsid w:val="009766A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405"/>
    <w:rsid w:val="009836B9"/>
    <w:rsid w:val="009838AB"/>
    <w:rsid w:val="00983988"/>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1D5"/>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981"/>
    <w:rsid w:val="009A1D73"/>
    <w:rsid w:val="009A2836"/>
    <w:rsid w:val="009A305B"/>
    <w:rsid w:val="009A36D5"/>
    <w:rsid w:val="009A3AD3"/>
    <w:rsid w:val="009A3FBF"/>
    <w:rsid w:val="009A413E"/>
    <w:rsid w:val="009A42FE"/>
    <w:rsid w:val="009A43C1"/>
    <w:rsid w:val="009A4566"/>
    <w:rsid w:val="009A4792"/>
    <w:rsid w:val="009A47F9"/>
    <w:rsid w:val="009A4BE6"/>
    <w:rsid w:val="009A617A"/>
    <w:rsid w:val="009A6416"/>
    <w:rsid w:val="009A64C2"/>
    <w:rsid w:val="009A69C2"/>
    <w:rsid w:val="009A6C80"/>
    <w:rsid w:val="009A6E4A"/>
    <w:rsid w:val="009A6E57"/>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116"/>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C2C"/>
    <w:rsid w:val="009C1E8C"/>
    <w:rsid w:val="009C213E"/>
    <w:rsid w:val="009C2D5D"/>
    <w:rsid w:val="009C2DD2"/>
    <w:rsid w:val="009C357D"/>
    <w:rsid w:val="009C360D"/>
    <w:rsid w:val="009C38DD"/>
    <w:rsid w:val="009C3AD7"/>
    <w:rsid w:val="009C3D52"/>
    <w:rsid w:val="009C413C"/>
    <w:rsid w:val="009C46E7"/>
    <w:rsid w:val="009C4EB2"/>
    <w:rsid w:val="009C51D5"/>
    <w:rsid w:val="009C56FA"/>
    <w:rsid w:val="009C57B6"/>
    <w:rsid w:val="009C5B86"/>
    <w:rsid w:val="009C6B52"/>
    <w:rsid w:val="009C7119"/>
    <w:rsid w:val="009C74A2"/>
    <w:rsid w:val="009C760A"/>
    <w:rsid w:val="009D0004"/>
    <w:rsid w:val="009D0D3B"/>
    <w:rsid w:val="009D1B0E"/>
    <w:rsid w:val="009D1CE4"/>
    <w:rsid w:val="009D2283"/>
    <w:rsid w:val="009D2729"/>
    <w:rsid w:val="009D29AD"/>
    <w:rsid w:val="009D3196"/>
    <w:rsid w:val="009D3557"/>
    <w:rsid w:val="009D38A4"/>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9E7"/>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1C1"/>
    <w:rsid w:val="009F4CFF"/>
    <w:rsid w:val="009F5A15"/>
    <w:rsid w:val="009F6437"/>
    <w:rsid w:val="009F7762"/>
    <w:rsid w:val="009F77D3"/>
    <w:rsid w:val="009F78C2"/>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5067"/>
    <w:rsid w:val="00A155CB"/>
    <w:rsid w:val="00A15FBD"/>
    <w:rsid w:val="00A16419"/>
    <w:rsid w:val="00A1729F"/>
    <w:rsid w:val="00A17410"/>
    <w:rsid w:val="00A2024B"/>
    <w:rsid w:val="00A20D44"/>
    <w:rsid w:val="00A20E84"/>
    <w:rsid w:val="00A210B5"/>
    <w:rsid w:val="00A2186C"/>
    <w:rsid w:val="00A21B13"/>
    <w:rsid w:val="00A22CD3"/>
    <w:rsid w:val="00A22DFE"/>
    <w:rsid w:val="00A23174"/>
    <w:rsid w:val="00A23A7D"/>
    <w:rsid w:val="00A23BF2"/>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5D0"/>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83A"/>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04D"/>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1FE"/>
    <w:rsid w:val="00A662EC"/>
    <w:rsid w:val="00A66510"/>
    <w:rsid w:val="00A67187"/>
    <w:rsid w:val="00A67EC3"/>
    <w:rsid w:val="00A7030F"/>
    <w:rsid w:val="00A70B8D"/>
    <w:rsid w:val="00A70C69"/>
    <w:rsid w:val="00A710D4"/>
    <w:rsid w:val="00A720C2"/>
    <w:rsid w:val="00A7217E"/>
    <w:rsid w:val="00A72300"/>
    <w:rsid w:val="00A7369A"/>
    <w:rsid w:val="00A739B2"/>
    <w:rsid w:val="00A7417B"/>
    <w:rsid w:val="00A7441E"/>
    <w:rsid w:val="00A74499"/>
    <w:rsid w:val="00A75457"/>
    <w:rsid w:val="00A755DE"/>
    <w:rsid w:val="00A757B7"/>
    <w:rsid w:val="00A75AA8"/>
    <w:rsid w:val="00A75BDB"/>
    <w:rsid w:val="00A760A3"/>
    <w:rsid w:val="00A76587"/>
    <w:rsid w:val="00A768E6"/>
    <w:rsid w:val="00A76A6A"/>
    <w:rsid w:val="00A771C1"/>
    <w:rsid w:val="00A77907"/>
    <w:rsid w:val="00A779AA"/>
    <w:rsid w:val="00A80395"/>
    <w:rsid w:val="00A8046C"/>
    <w:rsid w:val="00A807C1"/>
    <w:rsid w:val="00A808E7"/>
    <w:rsid w:val="00A80B36"/>
    <w:rsid w:val="00A80DD0"/>
    <w:rsid w:val="00A81AD8"/>
    <w:rsid w:val="00A81C01"/>
    <w:rsid w:val="00A82078"/>
    <w:rsid w:val="00A8220B"/>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01D"/>
    <w:rsid w:val="00A87182"/>
    <w:rsid w:val="00A87205"/>
    <w:rsid w:val="00A8720B"/>
    <w:rsid w:val="00A8728F"/>
    <w:rsid w:val="00A87795"/>
    <w:rsid w:val="00A904A1"/>
    <w:rsid w:val="00A906A1"/>
    <w:rsid w:val="00A90711"/>
    <w:rsid w:val="00A90AB1"/>
    <w:rsid w:val="00A90ACC"/>
    <w:rsid w:val="00A90B75"/>
    <w:rsid w:val="00A90BE1"/>
    <w:rsid w:val="00A90E9F"/>
    <w:rsid w:val="00A90F0C"/>
    <w:rsid w:val="00A918E6"/>
    <w:rsid w:val="00A91E24"/>
    <w:rsid w:val="00A91F16"/>
    <w:rsid w:val="00A92FB2"/>
    <w:rsid w:val="00A938E6"/>
    <w:rsid w:val="00A93B69"/>
    <w:rsid w:val="00A93FE5"/>
    <w:rsid w:val="00A940D0"/>
    <w:rsid w:val="00A943B4"/>
    <w:rsid w:val="00A9520A"/>
    <w:rsid w:val="00A9537B"/>
    <w:rsid w:val="00A9542F"/>
    <w:rsid w:val="00A95DE6"/>
    <w:rsid w:val="00A9635C"/>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D5E"/>
    <w:rsid w:val="00AA2FFD"/>
    <w:rsid w:val="00AA363D"/>
    <w:rsid w:val="00AA3CDB"/>
    <w:rsid w:val="00AA4560"/>
    <w:rsid w:val="00AA4A58"/>
    <w:rsid w:val="00AA4C29"/>
    <w:rsid w:val="00AA532C"/>
    <w:rsid w:val="00AA5718"/>
    <w:rsid w:val="00AA5864"/>
    <w:rsid w:val="00AA58E9"/>
    <w:rsid w:val="00AA5F58"/>
    <w:rsid w:val="00AA61D6"/>
    <w:rsid w:val="00AA64A1"/>
    <w:rsid w:val="00AA66D3"/>
    <w:rsid w:val="00AA6AEB"/>
    <w:rsid w:val="00AA6C41"/>
    <w:rsid w:val="00AA6C91"/>
    <w:rsid w:val="00AA713E"/>
    <w:rsid w:val="00AA7933"/>
    <w:rsid w:val="00AA7B4F"/>
    <w:rsid w:val="00AA7F60"/>
    <w:rsid w:val="00AB0376"/>
    <w:rsid w:val="00AB068D"/>
    <w:rsid w:val="00AB071F"/>
    <w:rsid w:val="00AB0B0A"/>
    <w:rsid w:val="00AB1143"/>
    <w:rsid w:val="00AB1FCC"/>
    <w:rsid w:val="00AB2409"/>
    <w:rsid w:val="00AB2452"/>
    <w:rsid w:val="00AB290F"/>
    <w:rsid w:val="00AB35C3"/>
    <w:rsid w:val="00AB3C33"/>
    <w:rsid w:val="00AB493B"/>
    <w:rsid w:val="00AB5081"/>
    <w:rsid w:val="00AB58A5"/>
    <w:rsid w:val="00AB5EF6"/>
    <w:rsid w:val="00AB6048"/>
    <w:rsid w:val="00AB6207"/>
    <w:rsid w:val="00AB6565"/>
    <w:rsid w:val="00AB694B"/>
    <w:rsid w:val="00AB6FF4"/>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30A"/>
    <w:rsid w:val="00AC3803"/>
    <w:rsid w:val="00AC3D37"/>
    <w:rsid w:val="00AC4A8C"/>
    <w:rsid w:val="00AC5065"/>
    <w:rsid w:val="00AC5746"/>
    <w:rsid w:val="00AC589B"/>
    <w:rsid w:val="00AC5F02"/>
    <w:rsid w:val="00AC6C8E"/>
    <w:rsid w:val="00AC6F34"/>
    <w:rsid w:val="00AC70B0"/>
    <w:rsid w:val="00AC7460"/>
    <w:rsid w:val="00AC7AE1"/>
    <w:rsid w:val="00AD0C33"/>
    <w:rsid w:val="00AD0E0E"/>
    <w:rsid w:val="00AD0E18"/>
    <w:rsid w:val="00AD1227"/>
    <w:rsid w:val="00AD144C"/>
    <w:rsid w:val="00AD18C6"/>
    <w:rsid w:val="00AD20CE"/>
    <w:rsid w:val="00AD226B"/>
    <w:rsid w:val="00AD2A64"/>
    <w:rsid w:val="00AD3162"/>
    <w:rsid w:val="00AD3457"/>
    <w:rsid w:val="00AD35D1"/>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BAD"/>
    <w:rsid w:val="00AD7EFE"/>
    <w:rsid w:val="00AE0009"/>
    <w:rsid w:val="00AE1195"/>
    <w:rsid w:val="00AE2227"/>
    <w:rsid w:val="00AE29C9"/>
    <w:rsid w:val="00AE2A3B"/>
    <w:rsid w:val="00AE2B4E"/>
    <w:rsid w:val="00AE2E23"/>
    <w:rsid w:val="00AE2E7D"/>
    <w:rsid w:val="00AE3F89"/>
    <w:rsid w:val="00AE4A5C"/>
    <w:rsid w:val="00AE55D0"/>
    <w:rsid w:val="00AE5644"/>
    <w:rsid w:val="00AE5CE6"/>
    <w:rsid w:val="00AE607A"/>
    <w:rsid w:val="00AE6310"/>
    <w:rsid w:val="00AE63A7"/>
    <w:rsid w:val="00AE6449"/>
    <w:rsid w:val="00AE6527"/>
    <w:rsid w:val="00AE66D4"/>
    <w:rsid w:val="00AE66F5"/>
    <w:rsid w:val="00AE6BB0"/>
    <w:rsid w:val="00AE6C0F"/>
    <w:rsid w:val="00AE6FE0"/>
    <w:rsid w:val="00AE74C2"/>
    <w:rsid w:val="00AE79C1"/>
    <w:rsid w:val="00AF00BB"/>
    <w:rsid w:val="00AF02F9"/>
    <w:rsid w:val="00AF039E"/>
    <w:rsid w:val="00AF0AEA"/>
    <w:rsid w:val="00AF1285"/>
    <w:rsid w:val="00AF169F"/>
    <w:rsid w:val="00AF1C55"/>
    <w:rsid w:val="00AF2226"/>
    <w:rsid w:val="00AF2467"/>
    <w:rsid w:val="00AF29BF"/>
    <w:rsid w:val="00AF2F89"/>
    <w:rsid w:val="00AF3873"/>
    <w:rsid w:val="00AF43A8"/>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59B"/>
    <w:rsid w:val="00B04AB1"/>
    <w:rsid w:val="00B04E18"/>
    <w:rsid w:val="00B05903"/>
    <w:rsid w:val="00B05FA4"/>
    <w:rsid w:val="00B061DB"/>
    <w:rsid w:val="00B068CA"/>
    <w:rsid w:val="00B06A17"/>
    <w:rsid w:val="00B06ED6"/>
    <w:rsid w:val="00B0739A"/>
    <w:rsid w:val="00B0750B"/>
    <w:rsid w:val="00B07828"/>
    <w:rsid w:val="00B0786A"/>
    <w:rsid w:val="00B07D0E"/>
    <w:rsid w:val="00B07E53"/>
    <w:rsid w:val="00B10BCE"/>
    <w:rsid w:val="00B10F8B"/>
    <w:rsid w:val="00B115D8"/>
    <w:rsid w:val="00B12DF5"/>
    <w:rsid w:val="00B12F00"/>
    <w:rsid w:val="00B13CF8"/>
    <w:rsid w:val="00B14AC9"/>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1BA"/>
    <w:rsid w:val="00B214D2"/>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4FE"/>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45D1"/>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28"/>
    <w:rsid w:val="00B416AE"/>
    <w:rsid w:val="00B41F22"/>
    <w:rsid w:val="00B41FF9"/>
    <w:rsid w:val="00B420D5"/>
    <w:rsid w:val="00B420E2"/>
    <w:rsid w:val="00B42165"/>
    <w:rsid w:val="00B421B0"/>
    <w:rsid w:val="00B4229E"/>
    <w:rsid w:val="00B425CE"/>
    <w:rsid w:val="00B42CF3"/>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1EBE"/>
    <w:rsid w:val="00B62D08"/>
    <w:rsid w:val="00B62D3F"/>
    <w:rsid w:val="00B63337"/>
    <w:rsid w:val="00B6374D"/>
    <w:rsid w:val="00B63BEB"/>
    <w:rsid w:val="00B63F20"/>
    <w:rsid w:val="00B641E3"/>
    <w:rsid w:val="00B64619"/>
    <w:rsid w:val="00B64AE9"/>
    <w:rsid w:val="00B64B2A"/>
    <w:rsid w:val="00B64E9E"/>
    <w:rsid w:val="00B65687"/>
    <w:rsid w:val="00B657C7"/>
    <w:rsid w:val="00B65AAE"/>
    <w:rsid w:val="00B66066"/>
    <w:rsid w:val="00B66384"/>
    <w:rsid w:val="00B6669E"/>
    <w:rsid w:val="00B674FB"/>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751"/>
    <w:rsid w:val="00B75785"/>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3656"/>
    <w:rsid w:val="00B84177"/>
    <w:rsid w:val="00B842F2"/>
    <w:rsid w:val="00B8458D"/>
    <w:rsid w:val="00B848AD"/>
    <w:rsid w:val="00B84FB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1CC"/>
    <w:rsid w:val="00B932AC"/>
    <w:rsid w:val="00B93776"/>
    <w:rsid w:val="00B9378B"/>
    <w:rsid w:val="00B937A7"/>
    <w:rsid w:val="00B944DA"/>
    <w:rsid w:val="00B94C9F"/>
    <w:rsid w:val="00B94E0E"/>
    <w:rsid w:val="00B95781"/>
    <w:rsid w:val="00B957D5"/>
    <w:rsid w:val="00B95BAF"/>
    <w:rsid w:val="00B95BF9"/>
    <w:rsid w:val="00B95ED7"/>
    <w:rsid w:val="00B9643E"/>
    <w:rsid w:val="00B96A72"/>
    <w:rsid w:val="00B975FF"/>
    <w:rsid w:val="00B97971"/>
    <w:rsid w:val="00BA0AD9"/>
    <w:rsid w:val="00BA2066"/>
    <w:rsid w:val="00BA2794"/>
    <w:rsid w:val="00BA3737"/>
    <w:rsid w:val="00BA3E3E"/>
    <w:rsid w:val="00BA4BE0"/>
    <w:rsid w:val="00BA546D"/>
    <w:rsid w:val="00BA5E52"/>
    <w:rsid w:val="00BA6367"/>
    <w:rsid w:val="00BA6446"/>
    <w:rsid w:val="00BA668E"/>
    <w:rsid w:val="00BA675F"/>
    <w:rsid w:val="00BA6FAD"/>
    <w:rsid w:val="00BA70AC"/>
    <w:rsid w:val="00BA7235"/>
    <w:rsid w:val="00BA7D32"/>
    <w:rsid w:val="00BA7F5F"/>
    <w:rsid w:val="00BB045C"/>
    <w:rsid w:val="00BB07B8"/>
    <w:rsid w:val="00BB0816"/>
    <w:rsid w:val="00BB0D1E"/>
    <w:rsid w:val="00BB2510"/>
    <w:rsid w:val="00BB26EC"/>
    <w:rsid w:val="00BB28EC"/>
    <w:rsid w:val="00BB28FF"/>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302"/>
    <w:rsid w:val="00BB76F6"/>
    <w:rsid w:val="00BB7832"/>
    <w:rsid w:val="00BB7B33"/>
    <w:rsid w:val="00BB7EA7"/>
    <w:rsid w:val="00BC15FA"/>
    <w:rsid w:val="00BC2158"/>
    <w:rsid w:val="00BC21A5"/>
    <w:rsid w:val="00BC2762"/>
    <w:rsid w:val="00BC330C"/>
    <w:rsid w:val="00BC3759"/>
    <w:rsid w:val="00BC3841"/>
    <w:rsid w:val="00BC3CA2"/>
    <w:rsid w:val="00BC401B"/>
    <w:rsid w:val="00BC5104"/>
    <w:rsid w:val="00BC5111"/>
    <w:rsid w:val="00BC5AA7"/>
    <w:rsid w:val="00BC6343"/>
    <w:rsid w:val="00BC655E"/>
    <w:rsid w:val="00BC6642"/>
    <w:rsid w:val="00BC6E7E"/>
    <w:rsid w:val="00BC78C6"/>
    <w:rsid w:val="00BC7A40"/>
    <w:rsid w:val="00BC7F1F"/>
    <w:rsid w:val="00BD0600"/>
    <w:rsid w:val="00BD1E46"/>
    <w:rsid w:val="00BD20A2"/>
    <w:rsid w:val="00BD2108"/>
    <w:rsid w:val="00BD2D1E"/>
    <w:rsid w:val="00BD2E2A"/>
    <w:rsid w:val="00BD36A7"/>
    <w:rsid w:val="00BD3799"/>
    <w:rsid w:val="00BD3AA1"/>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2FEE"/>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E71F7"/>
    <w:rsid w:val="00BF00E1"/>
    <w:rsid w:val="00BF06E6"/>
    <w:rsid w:val="00BF0F82"/>
    <w:rsid w:val="00BF10BC"/>
    <w:rsid w:val="00BF19C5"/>
    <w:rsid w:val="00BF1FB6"/>
    <w:rsid w:val="00BF2752"/>
    <w:rsid w:val="00BF2AE3"/>
    <w:rsid w:val="00BF32E3"/>
    <w:rsid w:val="00BF3B5F"/>
    <w:rsid w:val="00BF4471"/>
    <w:rsid w:val="00BF522D"/>
    <w:rsid w:val="00BF5336"/>
    <w:rsid w:val="00BF5A34"/>
    <w:rsid w:val="00BF658E"/>
    <w:rsid w:val="00BF6646"/>
    <w:rsid w:val="00BF6780"/>
    <w:rsid w:val="00BF6D94"/>
    <w:rsid w:val="00BF6DE5"/>
    <w:rsid w:val="00BF6DF6"/>
    <w:rsid w:val="00BF76EB"/>
    <w:rsid w:val="00BF77E3"/>
    <w:rsid w:val="00BF7E9B"/>
    <w:rsid w:val="00BF7FD0"/>
    <w:rsid w:val="00BF7FE5"/>
    <w:rsid w:val="00C0037D"/>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6D7B"/>
    <w:rsid w:val="00C074F1"/>
    <w:rsid w:val="00C07F99"/>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D39"/>
    <w:rsid w:val="00C17E08"/>
    <w:rsid w:val="00C203DC"/>
    <w:rsid w:val="00C20934"/>
    <w:rsid w:val="00C209E7"/>
    <w:rsid w:val="00C20C01"/>
    <w:rsid w:val="00C20C5F"/>
    <w:rsid w:val="00C20CB5"/>
    <w:rsid w:val="00C20FBF"/>
    <w:rsid w:val="00C211AA"/>
    <w:rsid w:val="00C212F8"/>
    <w:rsid w:val="00C21562"/>
    <w:rsid w:val="00C2183D"/>
    <w:rsid w:val="00C21EC0"/>
    <w:rsid w:val="00C21FAF"/>
    <w:rsid w:val="00C2219E"/>
    <w:rsid w:val="00C2266B"/>
    <w:rsid w:val="00C22862"/>
    <w:rsid w:val="00C23157"/>
    <w:rsid w:val="00C23D53"/>
    <w:rsid w:val="00C24246"/>
    <w:rsid w:val="00C2465B"/>
    <w:rsid w:val="00C248D1"/>
    <w:rsid w:val="00C24DAF"/>
    <w:rsid w:val="00C24E08"/>
    <w:rsid w:val="00C255D6"/>
    <w:rsid w:val="00C25BCF"/>
    <w:rsid w:val="00C25EA0"/>
    <w:rsid w:val="00C25FAB"/>
    <w:rsid w:val="00C26173"/>
    <w:rsid w:val="00C26918"/>
    <w:rsid w:val="00C26B37"/>
    <w:rsid w:val="00C26D4D"/>
    <w:rsid w:val="00C26D51"/>
    <w:rsid w:val="00C26E8C"/>
    <w:rsid w:val="00C27FF2"/>
    <w:rsid w:val="00C306DF"/>
    <w:rsid w:val="00C30B02"/>
    <w:rsid w:val="00C30FC4"/>
    <w:rsid w:val="00C3129C"/>
    <w:rsid w:val="00C319CF"/>
    <w:rsid w:val="00C31BA6"/>
    <w:rsid w:val="00C3207C"/>
    <w:rsid w:val="00C3257A"/>
    <w:rsid w:val="00C32B36"/>
    <w:rsid w:val="00C34364"/>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036"/>
    <w:rsid w:val="00C4687C"/>
    <w:rsid w:val="00C46F17"/>
    <w:rsid w:val="00C47732"/>
    <w:rsid w:val="00C47A87"/>
    <w:rsid w:val="00C47B5C"/>
    <w:rsid w:val="00C500FF"/>
    <w:rsid w:val="00C504A1"/>
    <w:rsid w:val="00C5092C"/>
    <w:rsid w:val="00C50B1E"/>
    <w:rsid w:val="00C5122E"/>
    <w:rsid w:val="00C515E1"/>
    <w:rsid w:val="00C51A13"/>
    <w:rsid w:val="00C51E10"/>
    <w:rsid w:val="00C52652"/>
    <w:rsid w:val="00C527DC"/>
    <w:rsid w:val="00C52AC7"/>
    <w:rsid w:val="00C531BD"/>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BE7"/>
    <w:rsid w:val="00C60F1F"/>
    <w:rsid w:val="00C60FAF"/>
    <w:rsid w:val="00C61142"/>
    <w:rsid w:val="00C61486"/>
    <w:rsid w:val="00C6163E"/>
    <w:rsid w:val="00C61E49"/>
    <w:rsid w:val="00C62065"/>
    <w:rsid w:val="00C62965"/>
    <w:rsid w:val="00C62AD9"/>
    <w:rsid w:val="00C6341D"/>
    <w:rsid w:val="00C635B9"/>
    <w:rsid w:val="00C645BF"/>
    <w:rsid w:val="00C646BA"/>
    <w:rsid w:val="00C6490D"/>
    <w:rsid w:val="00C64B48"/>
    <w:rsid w:val="00C65099"/>
    <w:rsid w:val="00C65554"/>
    <w:rsid w:val="00C65806"/>
    <w:rsid w:val="00C65AA5"/>
    <w:rsid w:val="00C65C0B"/>
    <w:rsid w:val="00C66215"/>
    <w:rsid w:val="00C663FC"/>
    <w:rsid w:val="00C66742"/>
    <w:rsid w:val="00C668EB"/>
    <w:rsid w:val="00C67679"/>
    <w:rsid w:val="00C677C7"/>
    <w:rsid w:val="00C6784A"/>
    <w:rsid w:val="00C67D3C"/>
    <w:rsid w:val="00C67D71"/>
    <w:rsid w:val="00C70C03"/>
    <w:rsid w:val="00C712B0"/>
    <w:rsid w:val="00C71DD0"/>
    <w:rsid w:val="00C71FA4"/>
    <w:rsid w:val="00C7221A"/>
    <w:rsid w:val="00C726A3"/>
    <w:rsid w:val="00C727A9"/>
    <w:rsid w:val="00C72BBD"/>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69"/>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28C"/>
    <w:rsid w:val="00CA270E"/>
    <w:rsid w:val="00CA31FD"/>
    <w:rsid w:val="00CA34AB"/>
    <w:rsid w:val="00CA35E2"/>
    <w:rsid w:val="00CA3708"/>
    <w:rsid w:val="00CA3884"/>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0B1A"/>
    <w:rsid w:val="00CB12E0"/>
    <w:rsid w:val="00CB12F1"/>
    <w:rsid w:val="00CB1BDC"/>
    <w:rsid w:val="00CB1CFD"/>
    <w:rsid w:val="00CB1DF3"/>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2D2"/>
    <w:rsid w:val="00CB64CB"/>
    <w:rsid w:val="00CB70DE"/>
    <w:rsid w:val="00CB717C"/>
    <w:rsid w:val="00CB7A2D"/>
    <w:rsid w:val="00CC0018"/>
    <w:rsid w:val="00CC06F4"/>
    <w:rsid w:val="00CC0B75"/>
    <w:rsid w:val="00CC0F88"/>
    <w:rsid w:val="00CC198B"/>
    <w:rsid w:val="00CC19A9"/>
    <w:rsid w:val="00CC1F99"/>
    <w:rsid w:val="00CC2635"/>
    <w:rsid w:val="00CC2AE9"/>
    <w:rsid w:val="00CC3575"/>
    <w:rsid w:val="00CC36DB"/>
    <w:rsid w:val="00CC3D1B"/>
    <w:rsid w:val="00CC3F10"/>
    <w:rsid w:val="00CC4583"/>
    <w:rsid w:val="00CC55CE"/>
    <w:rsid w:val="00CC5D0C"/>
    <w:rsid w:val="00CC5E1E"/>
    <w:rsid w:val="00CC65C0"/>
    <w:rsid w:val="00CC71BF"/>
    <w:rsid w:val="00CC732E"/>
    <w:rsid w:val="00CC746E"/>
    <w:rsid w:val="00CC7ACD"/>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73"/>
    <w:rsid w:val="00CE1094"/>
    <w:rsid w:val="00CE192C"/>
    <w:rsid w:val="00CE1E58"/>
    <w:rsid w:val="00CE24CB"/>
    <w:rsid w:val="00CE2859"/>
    <w:rsid w:val="00CE3522"/>
    <w:rsid w:val="00CE39B1"/>
    <w:rsid w:val="00CE40EA"/>
    <w:rsid w:val="00CE4126"/>
    <w:rsid w:val="00CE43C0"/>
    <w:rsid w:val="00CE4526"/>
    <w:rsid w:val="00CE47DC"/>
    <w:rsid w:val="00CE4866"/>
    <w:rsid w:val="00CE4BBE"/>
    <w:rsid w:val="00CE51D7"/>
    <w:rsid w:val="00CE5473"/>
    <w:rsid w:val="00CE55EF"/>
    <w:rsid w:val="00CE596B"/>
    <w:rsid w:val="00CE63C6"/>
    <w:rsid w:val="00CE6507"/>
    <w:rsid w:val="00CE7EFA"/>
    <w:rsid w:val="00CE7F63"/>
    <w:rsid w:val="00CF0200"/>
    <w:rsid w:val="00CF0A2E"/>
    <w:rsid w:val="00CF0E59"/>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011"/>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7DD"/>
    <w:rsid w:val="00D06885"/>
    <w:rsid w:val="00D07275"/>
    <w:rsid w:val="00D077BC"/>
    <w:rsid w:val="00D07CF4"/>
    <w:rsid w:val="00D07F45"/>
    <w:rsid w:val="00D1005F"/>
    <w:rsid w:val="00D105DB"/>
    <w:rsid w:val="00D10919"/>
    <w:rsid w:val="00D110AE"/>
    <w:rsid w:val="00D11359"/>
    <w:rsid w:val="00D11641"/>
    <w:rsid w:val="00D11E76"/>
    <w:rsid w:val="00D11FC2"/>
    <w:rsid w:val="00D12557"/>
    <w:rsid w:val="00D128C2"/>
    <w:rsid w:val="00D13156"/>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1AA"/>
    <w:rsid w:val="00D20519"/>
    <w:rsid w:val="00D207E4"/>
    <w:rsid w:val="00D209E0"/>
    <w:rsid w:val="00D20DAF"/>
    <w:rsid w:val="00D223EA"/>
    <w:rsid w:val="00D22B2A"/>
    <w:rsid w:val="00D2369F"/>
    <w:rsid w:val="00D2429A"/>
    <w:rsid w:val="00D248B3"/>
    <w:rsid w:val="00D24CEA"/>
    <w:rsid w:val="00D24D89"/>
    <w:rsid w:val="00D254DC"/>
    <w:rsid w:val="00D25815"/>
    <w:rsid w:val="00D25AFB"/>
    <w:rsid w:val="00D25EE2"/>
    <w:rsid w:val="00D260F8"/>
    <w:rsid w:val="00D263A4"/>
    <w:rsid w:val="00D26445"/>
    <w:rsid w:val="00D26636"/>
    <w:rsid w:val="00D26E82"/>
    <w:rsid w:val="00D305E3"/>
    <w:rsid w:val="00D30BCA"/>
    <w:rsid w:val="00D30E10"/>
    <w:rsid w:val="00D30F50"/>
    <w:rsid w:val="00D3219D"/>
    <w:rsid w:val="00D32EDB"/>
    <w:rsid w:val="00D33189"/>
    <w:rsid w:val="00D33DDB"/>
    <w:rsid w:val="00D33F1D"/>
    <w:rsid w:val="00D33F7C"/>
    <w:rsid w:val="00D34B5B"/>
    <w:rsid w:val="00D3600E"/>
    <w:rsid w:val="00D36968"/>
    <w:rsid w:val="00D36AFB"/>
    <w:rsid w:val="00D37129"/>
    <w:rsid w:val="00D37236"/>
    <w:rsid w:val="00D3759B"/>
    <w:rsid w:val="00D375CE"/>
    <w:rsid w:val="00D376B0"/>
    <w:rsid w:val="00D379F2"/>
    <w:rsid w:val="00D37B4F"/>
    <w:rsid w:val="00D37B5A"/>
    <w:rsid w:val="00D4059A"/>
    <w:rsid w:val="00D40679"/>
    <w:rsid w:val="00D40837"/>
    <w:rsid w:val="00D408FE"/>
    <w:rsid w:val="00D40B1D"/>
    <w:rsid w:val="00D40B5E"/>
    <w:rsid w:val="00D40F0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83D"/>
    <w:rsid w:val="00D4796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2B"/>
    <w:rsid w:val="00D57E70"/>
    <w:rsid w:val="00D603DD"/>
    <w:rsid w:val="00D6048B"/>
    <w:rsid w:val="00D60745"/>
    <w:rsid w:val="00D609C6"/>
    <w:rsid w:val="00D60AE2"/>
    <w:rsid w:val="00D60EEB"/>
    <w:rsid w:val="00D6349E"/>
    <w:rsid w:val="00D6353C"/>
    <w:rsid w:val="00D63919"/>
    <w:rsid w:val="00D640CB"/>
    <w:rsid w:val="00D644F5"/>
    <w:rsid w:val="00D64617"/>
    <w:rsid w:val="00D64E5E"/>
    <w:rsid w:val="00D65BA8"/>
    <w:rsid w:val="00D65D4C"/>
    <w:rsid w:val="00D65E2A"/>
    <w:rsid w:val="00D6605C"/>
    <w:rsid w:val="00D666F2"/>
    <w:rsid w:val="00D67282"/>
    <w:rsid w:val="00D67582"/>
    <w:rsid w:val="00D67A8F"/>
    <w:rsid w:val="00D70678"/>
    <w:rsid w:val="00D70A0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E"/>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27D"/>
    <w:rsid w:val="00D95982"/>
    <w:rsid w:val="00D964D5"/>
    <w:rsid w:val="00D96D73"/>
    <w:rsid w:val="00D9716A"/>
    <w:rsid w:val="00D97DAE"/>
    <w:rsid w:val="00D97F1B"/>
    <w:rsid w:val="00DA0048"/>
    <w:rsid w:val="00DA0070"/>
    <w:rsid w:val="00DA04BE"/>
    <w:rsid w:val="00DA0691"/>
    <w:rsid w:val="00DA069A"/>
    <w:rsid w:val="00DA06F9"/>
    <w:rsid w:val="00DA08A7"/>
    <w:rsid w:val="00DA0AC3"/>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3AD"/>
    <w:rsid w:val="00DA587A"/>
    <w:rsid w:val="00DA610D"/>
    <w:rsid w:val="00DA6729"/>
    <w:rsid w:val="00DA6751"/>
    <w:rsid w:val="00DA6898"/>
    <w:rsid w:val="00DA6B33"/>
    <w:rsid w:val="00DA6F24"/>
    <w:rsid w:val="00DA73F2"/>
    <w:rsid w:val="00DA7683"/>
    <w:rsid w:val="00DA77A0"/>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2FF"/>
    <w:rsid w:val="00DB6712"/>
    <w:rsid w:val="00DB6B89"/>
    <w:rsid w:val="00DB6BAE"/>
    <w:rsid w:val="00DB71E9"/>
    <w:rsid w:val="00DB77EB"/>
    <w:rsid w:val="00DB77EE"/>
    <w:rsid w:val="00DC00BD"/>
    <w:rsid w:val="00DC06DD"/>
    <w:rsid w:val="00DC151A"/>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5E0"/>
    <w:rsid w:val="00DD59FB"/>
    <w:rsid w:val="00DD5EBD"/>
    <w:rsid w:val="00DD61AE"/>
    <w:rsid w:val="00DD636E"/>
    <w:rsid w:val="00DD63EA"/>
    <w:rsid w:val="00DD6A00"/>
    <w:rsid w:val="00DD7195"/>
    <w:rsid w:val="00DD7401"/>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06D"/>
    <w:rsid w:val="00DE5123"/>
    <w:rsid w:val="00DE5261"/>
    <w:rsid w:val="00DE52E5"/>
    <w:rsid w:val="00DE56B2"/>
    <w:rsid w:val="00DE5978"/>
    <w:rsid w:val="00DE5C38"/>
    <w:rsid w:val="00DE640B"/>
    <w:rsid w:val="00DE6DA4"/>
    <w:rsid w:val="00DE7E37"/>
    <w:rsid w:val="00DE7E98"/>
    <w:rsid w:val="00DE7F7A"/>
    <w:rsid w:val="00DF004B"/>
    <w:rsid w:val="00DF0186"/>
    <w:rsid w:val="00DF032F"/>
    <w:rsid w:val="00DF06E1"/>
    <w:rsid w:val="00DF0AC6"/>
    <w:rsid w:val="00DF0F31"/>
    <w:rsid w:val="00DF146E"/>
    <w:rsid w:val="00DF15B6"/>
    <w:rsid w:val="00DF1791"/>
    <w:rsid w:val="00DF2B42"/>
    <w:rsid w:val="00DF36BF"/>
    <w:rsid w:val="00DF3DD5"/>
    <w:rsid w:val="00DF42F3"/>
    <w:rsid w:val="00DF4F9B"/>
    <w:rsid w:val="00DF574A"/>
    <w:rsid w:val="00DF62B6"/>
    <w:rsid w:val="00DF63EF"/>
    <w:rsid w:val="00DF649D"/>
    <w:rsid w:val="00DF6717"/>
    <w:rsid w:val="00DF7649"/>
    <w:rsid w:val="00DF76D5"/>
    <w:rsid w:val="00DF782F"/>
    <w:rsid w:val="00E00405"/>
    <w:rsid w:val="00E01398"/>
    <w:rsid w:val="00E013DA"/>
    <w:rsid w:val="00E013EA"/>
    <w:rsid w:val="00E01820"/>
    <w:rsid w:val="00E022F5"/>
    <w:rsid w:val="00E0243A"/>
    <w:rsid w:val="00E02463"/>
    <w:rsid w:val="00E025DA"/>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151"/>
    <w:rsid w:val="00E154C1"/>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913"/>
    <w:rsid w:val="00E23ADE"/>
    <w:rsid w:val="00E24543"/>
    <w:rsid w:val="00E24882"/>
    <w:rsid w:val="00E24AA1"/>
    <w:rsid w:val="00E250FD"/>
    <w:rsid w:val="00E252CF"/>
    <w:rsid w:val="00E258E0"/>
    <w:rsid w:val="00E2627E"/>
    <w:rsid w:val="00E26CFA"/>
    <w:rsid w:val="00E27794"/>
    <w:rsid w:val="00E27D56"/>
    <w:rsid w:val="00E27EB9"/>
    <w:rsid w:val="00E30DC2"/>
    <w:rsid w:val="00E30EAE"/>
    <w:rsid w:val="00E313B6"/>
    <w:rsid w:val="00E313CC"/>
    <w:rsid w:val="00E3151B"/>
    <w:rsid w:val="00E3165F"/>
    <w:rsid w:val="00E319EC"/>
    <w:rsid w:val="00E31EEB"/>
    <w:rsid w:val="00E324DF"/>
    <w:rsid w:val="00E326C3"/>
    <w:rsid w:val="00E332B1"/>
    <w:rsid w:val="00E34810"/>
    <w:rsid w:val="00E34909"/>
    <w:rsid w:val="00E34AE8"/>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4"/>
    <w:rsid w:val="00E56B26"/>
    <w:rsid w:val="00E56B80"/>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6DA"/>
    <w:rsid w:val="00E65995"/>
    <w:rsid w:val="00E65C0D"/>
    <w:rsid w:val="00E65C1A"/>
    <w:rsid w:val="00E65F33"/>
    <w:rsid w:val="00E66160"/>
    <w:rsid w:val="00E66BB3"/>
    <w:rsid w:val="00E67F60"/>
    <w:rsid w:val="00E67FFA"/>
    <w:rsid w:val="00E70787"/>
    <w:rsid w:val="00E71C13"/>
    <w:rsid w:val="00E72235"/>
    <w:rsid w:val="00E72A27"/>
    <w:rsid w:val="00E73C4D"/>
    <w:rsid w:val="00E7403B"/>
    <w:rsid w:val="00E743B6"/>
    <w:rsid w:val="00E74DB9"/>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180"/>
    <w:rsid w:val="00E8236D"/>
    <w:rsid w:val="00E827BB"/>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7BC"/>
    <w:rsid w:val="00E9396F"/>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2296"/>
    <w:rsid w:val="00EA3370"/>
    <w:rsid w:val="00EA34B3"/>
    <w:rsid w:val="00EA40D5"/>
    <w:rsid w:val="00EA43F9"/>
    <w:rsid w:val="00EA461F"/>
    <w:rsid w:val="00EA4F94"/>
    <w:rsid w:val="00EA5EFD"/>
    <w:rsid w:val="00EA61F9"/>
    <w:rsid w:val="00EA6600"/>
    <w:rsid w:val="00EA6BD8"/>
    <w:rsid w:val="00EA6EEB"/>
    <w:rsid w:val="00EA7120"/>
    <w:rsid w:val="00EA7437"/>
    <w:rsid w:val="00EA7931"/>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0BF"/>
    <w:rsid w:val="00EB7191"/>
    <w:rsid w:val="00EB7271"/>
    <w:rsid w:val="00EB7DF9"/>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A4C"/>
    <w:rsid w:val="00ED2BB3"/>
    <w:rsid w:val="00ED3121"/>
    <w:rsid w:val="00ED3178"/>
    <w:rsid w:val="00ED32C8"/>
    <w:rsid w:val="00ED33BD"/>
    <w:rsid w:val="00ED36E1"/>
    <w:rsid w:val="00ED3773"/>
    <w:rsid w:val="00ED39D3"/>
    <w:rsid w:val="00ED3A5C"/>
    <w:rsid w:val="00ED3E02"/>
    <w:rsid w:val="00ED43C1"/>
    <w:rsid w:val="00ED4974"/>
    <w:rsid w:val="00ED4C2D"/>
    <w:rsid w:val="00ED5101"/>
    <w:rsid w:val="00ED5120"/>
    <w:rsid w:val="00ED5372"/>
    <w:rsid w:val="00ED55A6"/>
    <w:rsid w:val="00ED5718"/>
    <w:rsid w:val="00ED5BAE"/>
    <w:rsid w:val="00ED65F0"/>
    <w:rsid w:val="00ED6F49"/>
    <w:rsid w:val="00ED7138"/>
    <w:rsid w:val="00ED74E5"/>
    <w:rsid w:val="00ED7686"/>
    <w:rsid w:val="00ED7A25"/>
    <w:rsid w:val="00ED7CC7"/>
    <w:rsid w:val="00ED7E3C"/>
    <w:rsid w:val="00EE014B"/>
    <w:rsid w:val="00EE0284"/>
    <w:rsid w:val="00EE0567"/>
    <w:rsid w:val="00EE139E"/>
    <w:rsid w:val="00EE1D36"/>
    <w:rsid w:val="00EE2C4F"/>
    <w:rsid w:val="00EE2FE7"/>
    <w:rsid w:val="00EE37E5"/>
    <w:rsid w:val="00EE3EBA"/>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297B"/>
    <w:rsid w:val="00EF3325"/>
    <w:rsid w:val="00EF3390"/>
    <w:rsid w:val="00EF3499"/>
    <w:rsid w:val="00EF36DD"/>
    <w:rsid w:val="00EF47C7"/>
    <w:rsid w:val="00EF5A32"/>
    <w:rsid w:val="00EF5B80"/>
    <w:rsid w:val="00EF6954"/>
    <w:rsid w:val="00EF7B81"/>
    <w:rsid w:val="00F005DA"/>
    <w:rsid w:val="00F00766"/>
    <w:rsid w:val="00F00BEB"/>
    <w:rsid w:val="00F00CE2"/>
    <w:rsid w:val="00F00D60"/>
    <w:rsid w:val="00F01450"/>
    <w:rsid w:val="00F01535"/>
    <w:rsid w:val="00F029BF"/>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2E14"/>
    <w:rsid w:val="00F1416E"/>
    <w:rsid w:val="00F143D5"/>
    <w:rsid w:val="00F14F43"/>
    <w:rsid w:val="00F15DB4"/>
    <w:rsid w:val="00F15F33"/>
    <w:rsid w:val="00F160CA"/>
    <w:rsid w:val="00F1672E"/>
    <w:rsid w:val="00F16BAF"/>
    <w:rsid w:val="00F16D27"/>
    <w:rsid w:val="00F17876"/>
    <w:rsid w:val="00F179C6"/>
    <w:rsid w:val="00F200DF"/>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04AC"/>
    <w:rsid w:val="00F3109B"/>
    <w:rsid w:val="00F32190"/>
    <w:rsid w:val="00F323E5"/>
    <w:rsid w:val="00F32EB8"/>
    <w:rsid w:val="00F3317A"/>
    <w:rsid w:val="00F3423B"/>
    <w:rsid w:val="00F343E8"/>
    <w:rsid w:val="00F3456B"/>
    <w:rsid w:val="00F349F2"/>
    <w:rsid w:val="00F34B09"/>
    <w:rsid w:val="00F3680A"/>
    <w:rsid w:val="00F3684B"/>
    <w:rsid w:val="00F3697A"/>
    <w:rsid w:val="00F37392"/>
    <w:rsid w:val="00F37B13"/>
    <w:rsid w:val="00F401B1"/>
    <w:rsid w:val="00F40A10"/>
    <w:rsid w:val="00F4140C"/>
    <w:rsid w:val="00F41F34"/>
    <w:rsid w:val="00F41F96"/>
    <w:rsid w:val="00F42022"/>
    <w:rsid w:val="00F425A7"/>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0DD"/>
    <w:rsid w:val="00F4713C"/>
    <w:rsid w:val="00F472A3"/>
    <w:rsid w:val="00F472CD"/>
    <w:rsid w:val="00F476C9"/>
    <w:rsid w:val="00F47A26"/>
    <w:rsid w:val="00F5006C"/>
    <w:rsid w:val="00F502B1"/>
    <w:rsid w:val="00F50CBD"/>
    <w:rsid w:val="00F50F2A"/>
    <w:rsid w:val="00F51E5B"/>
    <w:rsid w:val="00F520D7"/>
    <w:rsid w:val="00F52954"/>
    <w:rsid w:val="00F529E6"/>
    <w:rsid w:val="00F52AE0"/>
    <w:rsid w:val="00F52B2F"/>
    <w:rsid w:val="00F53110"/>
    <w:rsid w:val="00F532E8"/>
    <w:rsid w:val="00F53496"/>
    <w:rsid w:val="00F53866"/>
    <w:rsid w:val="00F53DF1"/>
    <w:rsid w:val="00F54ACF"/>
    <w:rsid w:val="00F54B6C"/>
    <w:rsid w:val="00F54CCC"/>
    <w:rsid w:val="00F54DA8"/>
    <w:rsid w:val="00F5529C"/>
    <w:rsid w:val="00F56246"/>
    <w:rsid w:val="00F56348"/>
    <w:rsid w:val="00F56C85"/>
    <w:rsid w:val="00F56CC9"/>
    <w:rsid w:val="00F56CF4"/>
    <w:rsid w:val="00F5715A"/>
    <w:rsid w:val="00F57476"/>
    <w:rsid w:val="00F574B2"/>
    <w:rsid w:val="00F577A4"/>
    <w:rsid w:val="00F57B4D"/>
    <w:rsid w:val="00F57C83"/>
    <w:rsid w:val="00F57FB7"/>
    <w:rsid w:val="00F6048B"/>
    <w:rsid w:val="00F6093D"/>
    <w:rsid w:val="00F615AC"/>
    <w:rsid w:val="00F61CFF"/>
    <w:rsid w:val="00F61DC0"/>
    <w:rsid w:val="00F62008"/>
    <w:rsid w:val="00F62812"/>
    <w:rsid w:val="00F6282B"/>
    <w:rsid w:val="00F62AFB"/>
    <w:rsid w:val="00F62CD9"/>
    <w:rsid w:val="00F62CFA"/>
    <w:rsid w:val="00F6365F"/>
    <w:rsid w:val="00F637C2"/>
    <w:rsid w:val="00F63DEC"/>
    <w:rsid w:val="00F640E7"/>
    <w:rsid w:val="00F64109"/>
    <w:rsid w:val="00F645F7"/>
    <w:rsid w:val="00F64889"/>
    <w:rsid w:val="00F648D6"/>
    <w:rsid w:val="00F64FF0"/>
    <w:rsid w:val="00F65194"/>
    <w:rsid w:val="00F6553E"/>
    <w:rsid w:val="00F65631"/>
    <w:rsid w:val="00F658A1"/>
    <w:rsid w:val="00F65F68"/>
    <w:rsid w:val="00F65FFC"/>
    <w:rsid w:val="00F669B1"/>
    <w:rsid w:val="00F66BB4"/>
    <w:rsid w:val="00F66D26"/>
    <w:rsid w:val="00F66E86"/>
    <w:rsid w:val="00F671DB"/>
    <w:rsid w:val="00F6720C"/>
    <w:rsid w:val="00F679DA"/>
    <w:rsid w:val="00F703DB"/>
    <w:rsid w:val="00F7081F"/>
    <w:rsid w:val="00F7082C"/>
    <w:rsid w:val="00F71595"/>
    <w:rsid w:val="00F71FA3"/>
    <w:rsid w:val="00F72A16"/>
    <w:rsid w:val="00F73D49"/>
    <w:rsid w:val="00F73DA9"/>
    <w:rsid w:val="00F74085"/>
    <w:rsid w:val="00F7434C"/>
    <w:rsid w:val="00F74F40"/>
    <w:rsid w:val="00F755F0"/>
    <w:rsid w:val="00F75642"/>
    <w:rsid w:val="00F75BBC"/>
    <w:rsid w:val="00F75F9C"/>
    <w:rsid w:val="00F761CE"/>
    <w:rsid w:val="00F76295"/>
    <w:rsid w:val="00F764F1"/>
    <w:rsid w:val="00F765FF"/>
    <w:rsid w:val="00F7670E"/>
    <w:rsid w:val="00F769A8"/>
    <w:rsid w:val="00F7762C"/>
    <w:rsid w:val="00F776C4"/>
    <w:rsid w:val="00F8039C"/>
    <w:rsid w:val="00F80B57"/>
    <w:rsid w:val="00F810BB"/>
    <w:rsid w:val="00F81992"/>
    <w:rsid w:val="00F81FBD"/>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74A"/>
    <w:rsid w:val="00F86A45"/>
    <w:rsid w:val="00F86EED"/>
    <w:rsid w:val="00F878FE"/>
    <w:rsid w:val="00F87B44"/>
    <w:rsid w:val="00F87FEA"/>
    <w:rsid w:val="00F90581"/>
    <w:rsid w:val="00F9096A"/>
    <w:rsid w:val="00F9105D"/>
    <w:rsid w:val="00F91545"/>
    <w:rsid w:val="00F9159A"/>
    <w:rsid w:val="00F915B3"/>
    <w:rsid w:val="00F91C5B"/>
    <w:rsid w:val="00F91D1F"/>
    <w:rsid w:val="00F91E73"/>
    <w:rsid w:val="00F91EC3"/>
    <w:rsid w:val="00F921FB"/>
    <w:rsid w:val="00F922F9"/>
    <w:rsid w:val="00F92637"/>
    <w:rsid w:val="00F92B1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47B8"/>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A7C47"/>
    <w:rsid w:val="00FB028E"/>
    <w:rsid w:val="00FB0343"/>
    <w:rsid w:val="00FB03A1"/>
    <w:rsid w:val="00FB06CC"/>
    <w:rsid w:val="00FB0ADB"/>
    <w:rsid w:val="00FB18B4"/>
    <w:rsid w:val="00FB1BDD"/>
    <w:rsid w:val="00FB1C7D"/>
    <w:rsid w:val="00FB1EA3"/>
    <w:rsid w:val="00FB22DF"/>
    <w:rsid w:val="00FB2379"/>
    <w:rsid w:val="00FB2750"/>
    <w:rsid w:val="00FB281A"/>
    <w:rsid w:val="00FB3055"/>
    <w:rsid w:val="00FB3106"/>
    <w:rsid w:val="00FB3B43"/>
    <w:rsid w:val="00FB411A"/>
    <w:rsid w:val="00FB42B3"/>
    <w:rsid w:val="00FB43E4"/>
    <w:rsid w:val="00FB45C7"/>
    <w:rsid w:val="00FB484F"/>
    <w:rsid w:val="00FB4BC6"/>
    <w:rsid w:val="00FB52C9"/>
    <w:rsid w:val="00FB5F8E"/>
    <w:rsid w:val="00FB611D"/>
    <w:rsid w:val="00FB66B2"/>
    <w:rsid w:val="00FB6B34"/>
    <w:rsid w:val="00FB6E6C"/>
    <w:rsid w:val="00FB7656"/>
    <w:rsid w:val="00FB7E32"/>
    <w:rsid w:val="00FB7FBA"/>
    <w:rsid w:val="00FC0159"/>
    <w:rsid w:val="00FC0953"/>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4F6F"/>
    <w:rsid w:val="00FC55E5"/>
    <w:rsid w:val="00FC57BB"/>
    <w:rsid w:val="00FC59C4"/>
    <w:rsid w:val="00FC5E56"/>
    <w:rsid w:val="00FC604E"/>
    <w:rsid w:val="00FC6451"/>
    <w:rsid w:val="00FC6587"/>
    <w:rsid w:val="00FC67F5"/>
    <w:rsid w:val="00FC6ABE"/>
    <w:rsid w:val="00FC6FA9"/>
    <w:rsid w:val="00FC7576"/>
    <w:rsid w:val="00FC7BA3"/>
    <w:rsid w:val="00FD0E73"/>
    <w:rsid w:val="00FD1169"/>
    <w:rsid w:val="00FD149F"/>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31"/>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631D"/>
    <w:rsid w:val="00FE6958"/>
    <w:rsid w:val="00FE6A1A"/>
    <w:rsid w:val="00FE6F69"/>
    <w:rsid w:val="00FE763F"/>
    <w:rsid w:val="00FF0056"/>
    <w:rsid w:val="00FF12D4"/>
    <w:rsid w:val="00FF1692"/>
    <w:rsid w:val="00FF16F2"/>
    <w:rsid w:val="00FF1737"/>
    <w:rsid w:val="00FF1A3D"/>
    <w:rsid w:val="00FF1A5E"/>
    <w:rsid w:val="00FF1E70"/>
    <w:rsid w:val="00FF2046"/>
    <w:rsid w:val="00FF230C"/>
    <w:rsid w:val="00FF24A1"/>
    <w:rsid w:val="00FF26E4"/>
    <w:rsid w:val="00FF2B5B"/>
    <w:rsid w:val="00FF2FAB"/>
    <w:rsid w:val="00FF35D1"/>
    <w:rsid w:val="00FF36FB"/>
    <w:rsid w:val="00FF3A23"/>
    <w:rsid w:val="00FF3D60"/>
    <w:rsid w:val="00FF4005"/>
    <w:rsid w:val="00FF560E"/>
    <w:rsid w:val="00FF60E0"/>
    <w:rsid w:val="00FF63A0"/>
    <w:rsid w:val="00FF6718"/>
    <w:rsid w:val="00FF6AD1"/>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6969"/>
    <w:pPr>
      <w:spacing w:after="160" w:line="259" w:lineRule="auto"/>
    </w:pPr>
    <w:rPr>
      <w:rFonts w:asciiTheme="minorHAnsi" w:eastAsiaTheme="minorEastAsia" w:hAnsiTheme="minorHAnsi" w:cstheme="minorBidi"/>
      <w:sz w:val="22"/>
      <w:szCs w:val="22"/>
      <w:lang w:eastAsia="zh-TW"/>
    </w:rPr>
  </w:style>
  <w:style w:type="paragraph" w:styleId="Heading1">
    <w:name w:val="heading 1"/>
    <w:aliases w:val="H1,h1,Heading 1 3GPP"/>
    <w:basedOn w:val="Normal"/>
    <w:next w:val="Normal"/>
    <w:link w:val="Heading1Char"/>
    <w:autoRedefine/>
    <w:uiPriority w:val="9"/>
    <w:qFormat/>
    <w:rsid w:val="00C86969"/>
    <w:pPr>
      <w:keepNext/>
      <w:keepLines/>
      <w:spacing w:before="480" w:after="0" w:line="276" w:lineRule="auto"/>
      <w:outlineLvl w:val="0"/>
    </w:pPr>
    <w:rPr>
      <w:rFonts w:ascii="宋体" w:eastAsia="宋体" w:hAnsi="宋体" w:cs="微软雅黑"/>
      <w:b/>
      <w:bCs/>
      <w:color w:val="2E74B5" w:themeColor="accent1" w:themeShade="BF"/>
      <w:sz w:val="28"/>
      <w:szCs w:val="28"/>
      <w:lang w:eastAsia="zh-CN"/>
    </w:rPr>
  </w:style>
  <w:style w:type="paragraph" w:styleId="Heading2">
    <w:name w:val="heading 2"/>
    <w:aliases w:val="H2,h2,DO NOT USE_h2,h21,Heading 2 3GPP"/>
    <w:basedOn w:val="Heading1"/>
    <w:next w:val="Normal"/>
    <w:qFormat/>
    <w:rsid w:val="00DB3A47"/>
    <w:pP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C8696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86969"/>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7C2235"/>
    <w:pPr>
      <w:ind w:left="720"/>
      <w:contextualSpacing/>
    </w:pPr>
    <w:rPr>
      <w:lang w:eastAsia="en-US"/>
    </w:rPr>
  </w:style>
  <w:style w:type="table" w:styleId="TableGrid">
    <w:name w:val="Table Grid"/>
    <w:basedOn w:val="TableNormal"/>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宋体" w:hAnsi="宋体"/>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Normal"/>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US"/>
    </w:rPr>
  </w:style>
  <w:style w:type="character" w:customStyle="1" w:styleId="Heading1Char">
    <w:name w:val="Heading 1 Char"/>
    <w:aliases w:val="H1 Char,h1 Char,Heading 1 3GPP Char"/>
    <w:basedOn w:val="DefaultParagraphFont"/>
    <w:link w:val="Heading1"/>
    <w:uiPriority w:val="9"/>
    <w:rsid w:val="00C86969"/>
    <w:rPr>
      <w:rFonts w:ascii="宋体" w:hAnsi="宋体" w:cs="微软雅黑"/>
      <w:b/>
      <w:bCs/>
      <w:color w:val="2E74B5" w:themeColor="accent1" w:themeShade="BF"/>
      <w:sz w:val="28"/>
      <w:szCs w:val="28"/>
    </w:rPr>
  </w:style>
  <w:style w:type="paragraph" w:customStyle="1" w:styleId="bullet1">
    <w:name w:val="bullet1"/>
    <w:basedOn w:val="Normal"/>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Normal"/>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Normal"/>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宋体"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宋体" w:hAnsi="Times New Roman" w:cs="Times New Roman"/>
      <w:szCs w:val="20"/>
    </w:rPr>
  </w:style>
  <w:style w:type="character" w:customStyle="1" w:styleId="3GPPAgreementsChar">
    <w:name w:val="3GPP Agreements Char"/>
    <w:link w:val="3GPPAgreements"/>
    <w:rsid w:val="00D33DDB"/>
    <w:rPr>
      <w:rFonts w:ascii="Times New Roman" w:hAnsi="Times New Roman"/>
      <w:sz w:val="22"/>
      <w:lang w:eastAsia="zh-TW"/>
    </w:rPr>
  </w:style>
  <w:style w:type="character" w:customStyle="1" w:styleId="CRCoverPageChar">
    <w:name w:val="CR Cover Page Char"/>
    <w:link w:val="CRCoverPage"/>
    <w:rsid w:val="00F848FE"/>
    <w:rPr>
      <w:rFonts w:ascii="Arial" w:eastAsia="MS Mincho"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D5BAE"/>
    <w:rPr>
      <w:rFonts w:ascii="Arial" w:hAnsi="Arial"/>
      <w:sz w:val="24"/>
      <w:lang w:val="en-GB" w:eastAsia="en-US"/>
    </w:rPr>
  </w:style>
  <w:style w:type="character" w:styleId="Emphasis">
    <w:name w:val="Emphasis"/>
    <w:qFormat/>
    <w:rsid w:val="00F54B6C"/>
    <w:rPr>
      <w:i/>
      <w:iCs/>
    </w:rPr>
  </w:style>
  <w:style w:type="paragraph" w:customStyle="1" w:styleId="3GPPHeader1">
    <w:name w:val="3GPP Header1"/>
    <w:basedOn w:val="Normal"/>
    <w:next w:val="Normal"/>
    <w:link w:val="3GPPHeader1Char"/>
    <w:qFormat/>
    <w:rsid w:val="00983405"/>
    <w:pPr>
      <w:numPr>
        <w:numId w:val="8"/>
      </w:numPr>
      <w:spacing w:line="240" w:lineRule="auto"/>
    </w:pPr>
    <w:rPr>
      <w:rFonts w:ascii="Arial" w:eastAsiaTheme="minorHAnsi" w:hAnsi="Arial" w:cs="Arial"/>
      <w:sz w:val="24"/>
      <w:lang w:val="en-GB" w:eastAsia="en-US"/>
    </w:rPr>
  </w:style>
  <w:style w:type="character" w:customStyle="1" w:styleId="3GPPHeader1Char">
    <w:name w:val="3GPP Header1 Char"/>
    <w:basedOn w:val="DefaultParagraphFont"/>
    <w:link w:val="3GPPHeader1"/>
    <w:rsid w:val="00983405"/>
    <w:rPr>
      <w:rFonts w:ascii="Arial" w:eastAsiaTheme="minorHAnsi" w:hAnsi="Arial" w:cs="Arial"/>
      <w:sz w:val="24"/>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43217808">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5346077">
      <w:bodyDiv w:val="1"/>
      <w:marLeft w:val="0"/>
      <w:marRight w:val="0"/>
      <w:marTop w:val="0"/>
      <w:marBottom w:val="0"/>
      <w:divBdr>
        <w:top w:val="none" w:sz="0" w:space="0" w:color="auto"/>
        <w:left w:val="none" w:sz="0" w:space="0" w:color="auto"/>
        <w:bottom w:val="none" w:sz="0" w:space="0" w:color="auto"/>
        <w:right w:val="none" w:sz="0" w:space="0" w:color="auto"/>
      </w:divBdr>
      <w:divsChild>
        <w:div w:id="812940238">
          <w:marLeft w:val="1166"/>
          <w:marRight w:val="0"/>
          <w:marTop w:val="0"/>
          <w:marBottom w:val="0"/>
          <w:divBdr>
            <w:top w:val="none" w:sz="0" w:space="0" w:color="auto"/>
            <w:left w:val="none" w:sz="0" w:space="0" w:color="auto"/>
            <w:bottom w:val="none" w:sz="0" w:space="0" w:color="auto"/>
            <w:right w:val="none" w:sz="0" w:space="0" w:color="auto"/>
          </w:divBdr>
        </w:div>
        <w:div w:id="506873585">
          <w:marLeft w:val="1166"/>
          <w:marRight w:val="0"/>
          <w:marTop w:val="0"/>
          <w:marBottom w:val="0"/>
          <w:divBdr>
            <w:top w:val="none" w:sz="0" w:space="0" w:color="auto"/>
            <w:left w:val="none" w:sz="0" w:space="0" w:color="auto"/>
            <w:bottom w:val="none" w:sz="0" w:space="0" w:color="auto"/>
            <w:right w:val="none" w:sz="0" w:space="0" w:color="auto"/>
          </w:divBdr>
        </w:div>
        <w:div w:id="104007645">
          <w:marLeft w:val="1166"/>
          <w:marRight w:val="0"/>
          <w:marTop w:val="0"/>
          <w:marBottom w:val="0"/>
          <w:divBdr>
            <w:top w:val="none" w:sz="0" w:space="0" w:color="auto"/>
            <w:left w:val="none" w:sz="0" w:space="0" w:color="auto"/>
            <w:bottom w:val="none" w:sz="0" w:space="0" w:color="auto"/>
            <w:right w:val="none" w:sz="0" w:space="0" w:color="auto"/>
          </w:divBdr>
        </w:div>
        <w:div w:id="1364090767">
          <w:marLeft w:val="1166"/>
          <w:marRight w:val="0"/>
          <w:marTop w:val="0"/>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63822343">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2184402">
      <w:bodyDiv w:val="1"/>
      <w:marLeft w:val="0"/>
      <w:marRight w:val="0"/>
      <w:marTop w:val="0"/>
      <w:marBottom w:val="0"/>
      <w:divBdr>
        <w:top w:val="none" w:sz="0" w:space="0" w:color="auto"/>
        <w:left w:val="none" w:sz="0" w:space="0" w:color="auto"/>
        <w:bottom w:val="none" w:sz="0" w:space="0" w:color="auto"/>
        <w:right w:val="none" w:sz="0" w:space="0" w:color="auto"/>
      </w:divBdr>
      <w:divsChild>
        <w:div w:id="265499055">
          <w:marLeft w:val="360"/>
          <w:marRight w:val="0"/>
          <w:marTop w:val="200"/>
          <w:marBottom w:val="0"/>
          <w:divBdr>
            <w:top w:val="none" w:sz="0" w:space="0" w:color="auto"/>
            <w:left w:val="none" w:sz="0" w:space="0" w:color="auto"/>
            <w:bottom w:val="none" w:sz="0" w:space="0" w:color="auto"/>
            <w:right w:val="none" w:sz="0" w:space="0" w:color="auto"/>
          </w:divBdr>
        </w:div>
        <w:div w:id="1060324541">
          <w:marLeft w:val="1080"/>
          <w:marRight w:val="0"/>
          <w:marTop w:val="1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9052118">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324973">
      <w:bodyDiv w:val="1"/>
      <w:marLeft w:val="0"/>
      <w:marRight w:val="0"/>
      <w:marTop w:val="0"/>
      <w:marBottom w:val="0"/>
      <w:divBdr>
        <w:top w:val="none" w:sz="0" w:space="0" w:color="auto"/>
        <w:left w:val="none" w:sz="0" w:space="0" w:color="auto"/>
        <w:bottom w:val="none" w:sz="0" w:space="0" w:color="auto"/>
        <w:right w:val="none" w:sz="0" w:space="0" w:color="auto"/>
      </w:divBdr>
      <w:divsChild>
        <w:div w:id="734352342">
          <w:marLeft w:val="1080"/>
          <w:marRight w:val="0"/>
          <w:marTop w:val="100"/>
          <w:marBottom w:val="0"/>
          <w:divBdr>
            <w:top w:val="none" w:sz="0" w:space="0" w:color="auto"/>
            <w:left w:val="none" w:sz="0" w:space="0" w:color="auto"/>
            <w:bottom w:val="none" w:sz="0" w:space="0" w:color="auto"/>
            <w:right w:val="none" w:sz="0" w:space="0" w:color="auto"/>
          </w:divBdr>
        </w:div>
        <w:div w:id="551188347">
          <w:marLeft w:val="1800"/>
          <w:marRight w:val="0"/>
          <w:marTop w:val="100"/>
          <w:marBottom w:val="0"/>
          <w:divBdr>
            <w:top w:val="none" w:sz="0" w:space="0" w:color="auto"/>
            <w:left w:val="none" w:sz="0" w:space="0" w:color="auto"/>
            <w:bottom w:val="none" w:sz="0" w:space="0" w:color="auto"/>
            <w:right w:val="none" w:sz="0" w:space="0" w:color="auto"/>
          </w:divBdr>
        </w:div>
        <w:div w:id="62264312">
          <w:marLeft w:val="2520"/>
          <w:marRight w:val="0"/>
          <w:marTop w:val="100"/>
          <w:marBottom w:val="0"/>
          <w:divBdr>
            <w:top w:val="none" w:sz="0" w:space="0" w:color="auto"/>
            <w:left w:val="none" w:sz="0" w:space="0" w:color="auto"/>
            <w:bottom w:val="none" w:sz="0" w:space="0" w:color="auto"/>
            <w:right w:val="none" w:sz="0" w:space="0" w:color="auto"/>
          </w:divBdr>
        </w:div>
        <w:div w:id="252054399">
          <w:marLeft w:val="2520"/>
          <w:marRight w:val="0"/>
          <w:marTop w:val="100"/>
          <w:marBottom w:val="0"/>
          <w:divBdr>
            <w:top w:val="none" w:sz="0" w:space="0" w:color="auto"/>
            <w:left w:val="none" w:sz="0" w:space="0" w:color="auto"/>
            <w:bottom w:val="none" w:sz="0" w:space="0" w:color="auto"/>
            <w:right w:val="none" w:sz="0" w:space="0" w:color="auto"/>
          </w:divBdr>
        </w:div>
        <w:div w:id="1565556203">
          <w:marLeft w:val="1080"/>
          <w:marRight w:val="0"/>
          <w:marTop w:val="100"/>
          <w:marBottom w:val="0"/>
          <w:divBdr>
            <w:top w:val="none" w:sz="0" w:space="0" w:color="auto"/>
            <w:left w:val="none" w:sz="0" w:space="0" w:color="auto"/>
            <w:bottom w:val="none" w:sz="0" w:space="0" w:color="auto"/>
            <w:right w:val="none" w:sz="0" w:space="0" w:color="auto"/>
          </w:divBdr>
        </w:div>
        <w:div w:id="1951622492">
          <w:marLeft w:val="1800"/>
          <w:marRight w:val="0"/>
          <w:marTop w:val="100"/>
          <w:marBottom w:val="0"/>
          <w:divBdr>
            <w:top w:val="none" w:sz="0" w:space="0" w:color="auto"/>
            <w:left w:val="none" w:sz="0" w:space="0" w:color="auto"/>
            <w:bottom w:val="none" w:sz="0" w:space="0" w:color="auto"/>
            <w:right w:val="none" w:sz="0" w:space="0" w:color="auto"/>
          </w:divBdr>
        </w:div>
        <w:div w:id="127625568">
          <w:marLeft w:val="2520"/>
          <w:marRight w:val="0"/>
          <w:marTop w:val="100"/>
          <w:marBottom w:val="0"/>
          <w:divBdr>
            <w:top w:val="none" w:sz="0" w:space="0" w:color="auto"/>
            <w:left w:val="none" w:sz="0" w:space="0" w:color="auto"/>
            <w:bottom w:val="none" w:sz="0" w:space="0" w:color="auto"/>
            <w:right w:val="none" w:sz="0" w:space="0" w:color="auto"/>
          </w:divBdr>
        </w:div>
        <w:div w:id="1354528858">
          <w:marLeft w:val="2520"/>
          <w:marRight w:val="0"/>
          <w:marTop w:val="100"/>
          <w:marBottom w:val="0"/>
          <w:divBdr>
            <w:top w:val="none" w:sz="0" w:space="0" w:color="auto"/>
            <w:left w:val="none" w:sz="0" w:space="0" w:color="auto"/>
            <w:bottom w:val="none" w:sz="0" w:space="0" w:color="auto"/>
            <w:right w:val="none" w:sz="0" w:space="0" w:color="auto"/>
          </w:divBdr>
        </w:div>
        <w:div w:id="1442991707">
          <w:marLeft w:val="2520"/>
          <w:marRight w:val="0"/>
          <w:marTop w:val="100"/>
          <w:marBottom w:val="0"/>
          <w:divBdr>
            <w:top w:val="none" w:sz="0" w:space="0" w:color="auto"/>
            <w:left w:val="none" w:sz="0" w:space="0" w:color="auto"/>
            <w:bottom w:val="none" w:sz="0" w:space="0" w:color="auto"/>
            <w:right w:val="none" w:sz="0" w:space="0" w:color="auto"/>
          </w:divBdr>
        </w:div>
        <w:div w:id="2026513625">
          <w:marLeft w:val="1800"/>
          <w:marRight w:val="0"/>
          <w:marTop w:val="10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4535407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09721348">
      <w:bodyDiv w:val="1"/>
      <w:marLeft w:val="0"/>
      <w:marRight w:val="0"/>
      <w:marTop w:val="0"/>
      <w:marBottom w:val="0"/>
      <w:divBdr>
        <w:top w:val="none" w:sz="0" w:space="0" w:color="auto"/>
        <w:left w:val="none" w:sz="0" w:space="0" w:color="auto"/>
        <w:bottom w:val="none" w:sz="0" w:space="0" w:color="auto"/>
        <w:right w:val="none" w:sz="0" w:space="0" w:color="auto"/>
      </w:divBdr>
      <w:divsChild>
        <w:div w:id="667513528">
          <w:marLeft w:val="1800"/>
          <w:marRight w:val="0"/>
          <w:marTop w:val="100"/>
          <w:marBottom w:val="0"/>
          <w:divBdr>
            <w:top w:val="none" w:sz="0" w:space="0" w:color="auto"/>
            <w:left w:val="none" w:sz="0" w:space="0" w:color="auto"/>
            <w:bottom w:val="none" w:sz="0" w:space="0" w:color="auto"/>
            <w:right w:val="none" w:sz="0" w:space="0" w:color="auto"/>
          </w:divBdr>
        </w:div>
        <w:div w:id="1510606260">
          <w:marLeft w:val="1800"/>
          <w:marRight w:val="0"/>
          <w:marTop w:val="100"/>
          <w:marBottom w:val="0"/>
          <w:divBdr>
            <w:top w:val="none" w:sz="0" w:space="0" w:color="auto"/>
            <w:left w:val="none" w:sz="0" w:space="0" w:color="auto"/>
            <w:bottom w:val="none" w:sz="0" w:space="0" w:color="auto"/>
            <w:right w:val="none" w:sz="0" w:space="0" w:color="auto"/>
          </w:divBdr>
        </w:div>
        <w:div w:id="1756239428">
          <w:marLeft w:val="180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2556722">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7744184">
      <w:bodyDiv w:val="1"/>
      <w:marLeft w:val="0"/>
      <w:marRight w:val="0"/>
      <w:marTop w:val="0"/>
      <w:marBottom w:val="0"/>
      <w:divBdr>
        <w:top w:val="none" w:sz="0" w:space="0" w:color="auto"/>
        <w:left w:val="none" w:sz="0" w:space="0" w:color="auto"/>
        <w:bottom w:val="none" w:sz="0" w:space="0" w:color="auto"/>
        <w:right w:val="none" w:sz="0" w:space="0" w:color="auto"/>
      </w:divBdr>
      <w:divsChild>
        <w:div w:id="679509155">
          <w:marLeft w:val="360"/>
          <w:marRight w:val="0"/>
          <w:marTop w:val="40"/>
          <w:marBottom w:val="0"/>
          <w:divBdr>
            <w:top w:val="none" w:sz="0" w:space="0" w:color="auto"/>
            <w:left w:val="none" w:sz="0" w:space="0" w:color="auto"/>
            <w:bottom w:val="none" w:sz="0" w:space="0" w:color="auto"/>
            <w:right w:val="none" w:sz="0" w:space="0" w:color="auto"/>
          </w:divBdr>
        </w:div>
      </w:divsChild>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87467004">
      <w:bodyDiv w:val="1"/>
      <w:marLeft w:val="0"/>
      <w:marRight w:val="0"/>
      <w:marTop w:val="0"/>
      <w:marBottom w:val="0"/>
      <w:divBdr>
        <w:top w:val="none" w:sz="0" w:space="0" w:color="auto"/>
        <w:left w:val="none" w:sz="0" w:space="0" w:color="auto"/>
        <w:bottom w:val="none" w:sz="0" w:space="0" w:color="auto"/>
        <w:right w:val="none" w:sz="0" w:space="0" w:color="auto"/>
      </w:divBdr>
      <w:divsChild>
        <w:div w:id="2091732123">
          <w:marLeft w:val="360"/>
          <w:marRight w:val="0"/>
          <w:marTop w:val="200"/>
          <w:marBottom w:val="0"/>
          <w:divBdr>
            <w:top w:val="none" w:sz="0" w:space="0" w:color="auto"/>
            <w:left w:val="none" w:sz="0" w:space="0" w:color="auto"/>
            <w:bottom w:val="none" w:sz="0" w:space="0" w:color="auto"/>
            <w:right w:val="none" w:sz="0" w:space="0" w:color="auto"/>
          </w:divBdr>
        </w:div>
        <w:div w:id="991179707">
          <w:marLeft w:val="1080"/>
          <w:marRight w:val="0"/>
          <w:marTop w:val="100"/>
          <w:marBottom w:val="0"/>
          <w:divBdr>
            <w:top w:val="none" w:sz="0" w:space="0" w:color="auto"/>
            <w:left w:val="none" w:sz="0" w:space="0" w:color="auto"/>
            <w:bottom w:val="none" w:sz="0" w:space="0" w:color="auto"/>
            <w:right w:val="none" w:sz="0" w:space="0" w:color="auto"/>
          </w:divBdr>
        </w:div>
        <w:div w:id="1853103988">
          <w:marLeft w:val="1080"/>
          <w:marRight w:val="0"/>
          <w:marTop w:val="100"/>
          <w:marBottom w:val="0"/>
          <w:divBdr>
            <w:top w:val="none" w:sz="0" w:space="0" w:color="auto"/>
            <w:left w:val="none" w:sz="0" w:space="0" w:color="auto"/>
            <w:bottom w:val="none" w:sz="0" w:space="0" w:color="auto"/>
            <w:right w:val="none" w:sz="0" w:space="0" w:color="auto"/>
          </w:divBdr>
        </w:div>
        <w:div w:id="1622028096">
          <w:marLeft w:val="1080"/>
          <w:marRight w:val="0"/>
          <w:marTop w:val="10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3237567">
      <w:bodyDiv w:val="1"/>
      <w:marLeft w:val="0"/>
      <w:marRight w:val="0"/>
      <w:marTop w:val="0"/>
      <w:marBottom w:val="0"/>
      <w:divBdr>
        <w:top w:val="none" w:sz="0" w:space="0" w:color="auto"/>
        <w:left w:val="none" w:sz="0" w:space="0" w:color="auto"/>
        <w:bottom w:val="none" w:sz="0" w:space="0" w:color="auto"/>
        <w:right w:val="none" w:sz="0" w:space="0" w:color="auto"/>
      </w:divBdr>
      <w:divsChild>
        <w:div w:id="252016773">
          <w:marLeft w:val="360"/>
          <w:marRight w:val="0"/>
          <w:marTop w:val="200"/>
          <w:marBottom w:val="0"/>
          <w:divBdr>
            <w:top w:val="none" w:sz="0" w:space="0" w:color="auto"/>
            <w:left w:val="none" w:sz="0" w:space="0" w:color="auto"/>
            <w:bottom w:val="none" w:sz="0" w:space="0" w:color="auto"/>
            <w:right w:val="none" w:sz="0" w:space="0" w:color="auto"/>
          </w:divBdr>
        </w:div>
        <w:div w:id="248200275">
          <w:marLeft w:val="1080"/>
          <w:marRight w:val="0"/>
          <w:marTop w:val="100"/>
          <w:marBottom w:val="0"/>
          <w:divBdr>
            <w:top w:val="none" w:sz="0" w:space="0" w:color="auto"/>
            <w:left w:val="none" w:sz="0" w:space="0" w:color="auto"/>
            <w:bottom w:val="none" w:sz="0" w:space="0" w:color="auto"/>
            <w:right w:val="none" w:sz="0" w:space="0" w:color="auto"/>
          </w:divBdr>
        </w:div>
        <w:div w:id="834567716">
          <w:marLeft w:val="1800"/>
          <w:marRight w:val="0"/>
          <w:marTop w:val="100"/>
          <w:marBottom w:val="0"/>
          <w:divBdr>
            <w:top w:val="none" w:sz="0" w:space="0" w:color="auto"/>
            <w:left w:val="none" w:sz="0" w:space="0" w:color="auto"/>
            <w:bottom w:val="none" w:sz="0" w:space="0" w:color="auto"/>
            <w:right w:val="none" w:sz="0" w:space="0" w:color="auto"/>
          </w:divBdr>
        </w:div>
        <w:div w:id="469709143">
          <w:marLeft w:val="1800"/>
          <w:marRight w:val="0"/>
          <w:marTop w:val="100"/>
          <w:marBottom w:val="0"/>
          <w:divBdr>
            <w:top w:val="none" w:sz="0" w:space="0" w:color="auto"/>
            <w:left w:val="none" w:sz="0" w:space="0" w:color="auto"/>
            <w:bottom w:val="none" w:sz="0" w:space="0" w:color="auto"/>
            <w:right w:val="none" w:sz="0" w:space="0" w:color="auto"/>
          </w:divBdr>
        </w:div>
        <w:div w:id="1661108179">
          <w:marLeft w:val="1080"/>
          <w:marRight w:val="0"/>
          <w:marTop w:val="100"/>
          <w:marBottom w:val="0"/>
          <w:divBdr>
            <w:top w:val="none" w:sz="0" w:space="0" w:color="auto"/>
            <w:left w:val="none" w:sz="0" w:space="0" w:color="auto"/>
            <w:bottom w:val="none" w:sz="0" w:space="0" w:color="auto"/>
            <w:right w:val="none" w:sz="0" w:space="0" w:color="auto"/>
          </w:divBdr>
        </w:div>
        <w:div w:id="370423592">
          <w:marLeft w:val="1080"/>
          <w:marRight w:val="0"/>
          <w:marTop w:val="100"/>
          <w:marBottom w:val="0"/>
          <w:divBdr>
            <w:top w:val="none" w:sz="0" w:space="0" w:color="auto"/>
            <w:left w:val="none" w:sz="0" w:space="0" w:color="auto"/>
            <w:bottom w:val="none" w:sz="0" w:space="0" w:color="auto"/>
            <w:right w:val="none" w:sz="0" w:space="0" w:color="auto"/>
          </w:divBdr>
        </w:div>
        <w:div w:id="128088266">
          <w:marLeft w:val="360"/>
          <w:marRight w:val="0"/>
          <w:marTop w:val="200"/>
          <w:marBottom w:val="0"/>
          <w:divBdr>
            <w:top w:val="none" w:sz="0" w:space="0" w:color="auto"/>
            <w:left w:val="none" w:sz="0" w:space="0" w:color="auto"/>
            <w:bottom w:val="none" w:sz="0" w:space="0" w:color="auto"/>
            <w:right w:val="none" w:sz="0" w:space="0" w:color="auto"/>
          </w:divBdr>
        </w:div>
        <w:div w:id="449393798">
          <w:marLeft w:val="1080"/>
          <w:marRight w:val="0"/>
          <w:marTop w:val="100"/>
          <w:marBottom w:val="0"/>
          <w:divBdr>
            <w:top w:val="none" w:sz="0" w:space="0" w:color="auto"/>
            <w:left w:val="none" w:sz="0" w:space="0" w:color="auto"/>
            <w:bottom w:val="none" w:sz="0" w:space="0" w:color="auto"/>
            <w:right w:val="none" w:sz="0" w:space="0" w:color="auto"/>
          </w:divBdr>
        </w:div>
        <w:div w:id="1419403175">
          <w:marLeft w:val="360"/>
          <w:marRight w:val="0"/>
          <w:marTop w:val="200"/>
          <w:marBottom w:val="0"/>
          <w:divBdr>
            <w:top w:val="none" w:sz="0" w:space="0" w:color="auto"/>
            <w:left w:val="none" w:sz="0" w:space="0" w:color="auto"/>
            <w:bottom w:val="none" w:sz="0" w:space="0" w:color="auto"/>
            <w:right w:val="none" w:sz="0" w:space="0" w:color="auto"/>
          </w:divBdr>
        </w:div>
        <w:div w:id="1182744032">
          <w:marLeft w:val="1080"/>
          <w:marRight w:val="0"/>
          <w:marTop w:val="100"/>
          <w:marBottom w:val="0"/>
          <w:divBdr>
            <w:top w:val="none" w:sz="0" w:space="0" w:color="auto"/>
            <w:left w:val="none" w:sz="0" w:space="0" w:color="auto"/>
            <w:bottom w:val="none" w:sz="0" w:space="0" w:color="auto"/>
            <w:right w:val="none" w:sz="0" w:space="0" w:color="auto"/>
          </w:divBdr>
        </w:div>
        <w:div w:id="1961648407">
          <w:marLeft w:val="1080"/>
          <w:marRight w:val="0"/>
          <w:marTop w:val="100"/>
          <w:marBottom w:val="0"/>
          <w:divBdr>
            <w:top w:val="none" w:sz="0" w:space="0" w:color="auto"/>
            <w:left w:val="none" w:sz="0" w:space="0" w:color="auto"/>
            <w:bottom w:val="none" w:sz="0" w:space="0" w:color="auto"/>
            <w:right w:val="none" w:sz="0" w:space="0" w:color="auto"/>
          </w:divBdr>
        </w:div>
        <w:div w:id="2039309341">
          <w:marLeft w:val="360"/>
          <w:marRight w:val="0"/>
          <w:marTop w:val="20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52414752">
      <w:bodyDiv w:val="1"/>
      <w:marLeft w:val="0"/>
      <w:marRight w:val="0"/>
      <w:marTop w:val="0"/>
      <w:marBottom w:val="0"/>
      <w:divBdr>
        <w:top w:val="none" w:sz="0" w:space="0" w:color="auto"/>
        <w:left w:val="none" w:sz="0" w:space="0" w:color="auto"/>
        <w:bottom w:val="none" w:sz="0" w:space="0" w:color="auto"/>
        <w:right w:val="none" w:sz="0" w:space="0" w:color="auto"/>
      </w:divBdr>
      <w:divsChild>
        <w:div w:id="1864434660">
          <w:marLeft w:val="1166"/>
          <w:marRight w:val="0"/>
          <w:marTop w:val="96"/>
          <w:marBottom w:val="0"/>
          <w:divBdr>
            <w:top w:val="none" w:sz="0" w:space="0" w:color="auto"/>
            <w:left w:val="none" w:sz="0" w:space="0" w:color="auto"/>
            <w:bottom w:val="none" w:sz="0" w:space="0" w:color="auto"/>
            <w:right w:val="none" w:sz="0" w:space="0" w:color="auto"/>
          </w:divBdr>
        </w:div>
      </w:divsChild>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60488671">
      <w:bodyDiv w:val="1"/>
      <w:marLeft w:val="0"/>
      <w:marRight w:val="0"/>
      <w:marTop w:val="0"/>
      <w:marBottom w:val="0"/>
      <w:divBdr>
        <w:top w:val="none" w:sz="0" w:space="0" w:color="auto"/>
        <w:left w:val="none" w:sz="0" w:space="0" w:color="auto"/>
        <w:bottom w:val="none" w:sz="0" w:space="0" w:color="auto"/>
        <w:right w:val="none" w:sz="0" w:space="0" w:color="auto"/>
      </w:divBdr>
      <w:divsChild>
        <w:div w:id="595285113">
          <w:marLeft w:val="360"/>
          <w:marRight w:val="0"/>
          <w:marTop w:val="200"/>
          <w:marBottom w:val="0"/>
          <w:divBdr>
            <w:top w:val="none" w:sz="0" w:space="0" w:color="auto"/>
            <w:left w:val="none" w:sz="0" w:space="0" w:color="auto"/>
            <w:bottom w:val="none" w:sz="0" w:space="0" w:color="auto"/>
            <w:right w:val="none" w:sz="0" w:space="0" w:color="auto"/>
          </w:divBdr>
        </w:div>
        <w:div w:id="1511217503">
          <w:marLeft w:val="360"/>
          <w:marRight w:val="0"/>
          <w:marTop w:val="200"/>
          <w:marBottom w:val="0"/>
          <w:divBdr>
            <w:top w:val="none" w:sz="0" w:space="0" w:color="auto"/>
            <w:left w:val="none" w:sz="0" w:space="0" w:color="auto"/>
            <w:bottom w:val="none" w:sz="0" w:space="0" w:color="auto"/>
            <w:right w:val="none" w:sz="0" w:space="0" w:color="auto"/>
          </w:divBdr>
        </w:div>
        <w:div w:id="2007785251">
          <w:marLeft w:val="1080"/>
          <w:marRight w:val="0"/>
          <w:marTop w:val="100"/>
          <w:marBottom w:val="0"/>
          <w:divBdr>
            <w:top w:val="none" w:sz="0" w:space="0" w:color="auto"/>
            <w:left w:val="none" w:sz="0" w:space="0" w:color="auto"/>
            <w:bottom w:val="none" w:sz="0" w:space="0" w:color="auto"/>
            <w:right w:val="none" w:sz="0" w:space="0" w:color="auto"/>
          </w:divBdr>
        </w:div>
        <w:div w:id="100535687">
          <w:marLeft w:val="1800"/>
          <w:marRight w:val="0"/>
          <w:marTop w:val="100"/>
          <w:marBottom w:val="0"/>
          <w:divBdr>
            <w:top w:val="none" w:sz="0" w:space="0" w:color="auto"/>
            <w:left w:val="none" w:sz="0" w:space="0" w:color="auto"/>
            <w:bottom w:val="none" w:sz="0" w:space="0" w:color="auto"/>
            <w:right w:val="none" w:sz="0" w:space="0" w:color="auto"/>
          </w:divBdr>
        </w:div>
        <w:div w:id="270094004">
          <w:marLeft w:val="1800"/>
          <w:marRight w:val="0"/>
          <w:marTop w:val="100"/>
          <w:marBottom w:val="0"/>
          <w:divBdr>
            <w:top w:val="none" w:sz="0" w:space="0" w:color="auto"/>
            <w:left w:val="none" w:sz="0" w:space="0" w:color="auto"/>
            <w:bottom w:val="none" w:sz="0" w:space="0" w:color="auto"/>
            <w:right w:val="none" w:sz="0" w:space="0" w:color="auto"/>
          </w:divBdr>
        </w:div>
        <w:div w:id="471562703">
          <w:marLeft w:val="1800"/>
          <w:marRight w:val="0"/>
          <w:marTop w:val="100"/>
          <w:marBottom w:val="0"/>
          <w:divBdr>
            <w:top w:val="none" w:sz="0" w:space="0" w:color="auto"/>
            <w:left w:val="none" w:sz="0" w:space="0" w:color="auto"/>
            <w:bottom w:val="none" w:sz="0" w:space="0" w:color="auto"/>
            <w:right w:val="none" w:sz="0" w:space="0" w:color="auto"/>
          </w:divBdr>
        </w:div>
        <w:div w:id="1584796525">
          <w:marLeft w:val="1800"/>
          <w:marRight w:val="0"/>
          <w:marTop w:val="100"/>
          <w:marBottom w:val="0"/>
          <w:divBdr>
            <w:top w:val="none" w:sz="0" w:space="0" w:color="auto"/>
            <w:left w:val="none" w:sz="0" w:space="0" w:color="auto"/>
            <w:bottom w:val="none" w:sz="0" w:space="0" w:color="auto"/>
            <w:right w:val="none" w:sz="0" w:space="0" w:color="auto"/>
          </w:divBdr>
        </w:div>
        <w:div w:id="429012281">
          <w:marLeft w:val="360"/>
          <w:marRight w:val="0"/>
          <w:marTop w:val="20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7281603">
      <w:bodyDiv w:val="1"/>
      <w:marLeft w:val="0"/>
      <w:marRight w:val="0"/>
      <w:marTop w:val="0"/>
      <w:marBottom w:val="0"/>
      <w:divBdr>
        <w:top w:val="none" w:sz="0" w:space="0" w:color="auto"/>
        <w:left w:val="none" w:sz="0" w:space="0" w:color="auto"/>
        <w:bottom w:val="none" w:sz="0" w:space="0" w:color="auto"/>
        <w:right w:val="none" w:sz="0" w:space="0" w:color="auto"/>
      </w:divBdr>
      <w:divsChild>
        <w:div w:id="1844202682">
          <w:marLeft w:val="1166"/>
          <w:marRight w:val="0"/>
          <w:marTop w:val="0"/>
          <w:marBottom w:val="0"/>
          <w:divBdr>
            <w:top w:val="none" w:sz="0" w:space="0" w:color="auto"/>
            <w:left w:val="none" w:sz="0" w:space="0" w:color="auto"/>
            <w:bottom w:val="none" w:sz="0" w:space="0" w:color="auto"/>
            <w:right w:val="none" w:sz="0" w:space="0" w:color="auto"/>
          </w:divBdr>
        </w:div>
        <w:div w:id="434790821">
          <w:marLeft w:val="1166"/>
          <w:marRight w:val="0"/>
          <w:marTop w:val="0"/>
          <w:marBottom w:val="0"/>
          <w:divBdr>
            <w:top w:val="none" w:sz="0" w:space="0" w:color="auto"/>
            <w:left w:val="none" w:sz="0" w:space="0" w:color="auto"/>
            <w:bottom w:val="none" w:sz="0" w:space="0" w:color="auto"/>
            <w:right w:val="none" w:sz="0" w:space="0" w:color="auto"/>
          </w:divBdr>
        </w:div>
        <w:div w:id="555632041">
          <w:marLeft w:val="1166"/>
          <w:marRight w:val="0"/>
          <w:marTop w:val="0"/>
          <w:marBottom w:val="0"/>
          <w:divBdr>
            <w:top w:val="none" w:sz="0" w:space="0" w:color="auto"/>
            <w:left w:val="none" w:sz="0" w:space="0" w:color="auto"/>
            <w:bottom w:val="none" w:sz="0" w:space="0" w:color="auto"/>
            <w:right w:val="none" w:sz="0" w:space="0" w:color="auto"/>
          </w:divBdr>
        </w:div>
        <w:div w:id="1618028916">
          <w:marLeft w:val="1166"/>
          <w:marRight w:val="0"/>
          <w:marTop w:val="0"/>
          <w:marBottom w:val="0"/>
          <w:divBdr>
            <w:top w:val="none" w:sz="0" w:space="0" w:color="auto"/>
            <w:left w:val="none" w:sz="0" w:space="0" w:color="auto"/>
            <w:bottom w:val="none" w:sz="0" w:space="0" w:color="auto"/>
            <w:right w:val="none" w:sz="0" w:space="0" w:color="auto"/>
          </w:divBdr>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4990674">
      <w:bodyDiv w:val="1"/>
      <w:marLeft w:val="0"/>
      <w:marRight w:val="0"/>
      <w:marTop w:val="0"/>
      <w:marBottom w:val="0"/>
      <w:divBdr>
        <w:top w:val="none" w:sz="0" w:space="0" w:color="auto"/>
        <w:left w:val="none" w:sz="0" w:space="0" w:color="auto"/>
        <w:bottom w:val="none" w:sz="0" w:space="0" w:color="auto"/>
        <w:right w:val="none" w:sz="0" w:space="0" w:color="auto"/>
      </w:divBdr>
      <w:divsChild>
        <w:div w:id="1240365199">
          <w:marLeft w:val="547"/>
          <w:marRight w:val="0"/>
          <w:marTop w:val="115"/>
          <w:marBottom w:val="0"/>
          <w:divBdr>
            <w:top w:val="none" w:sz="0" w:space="0" w:color="auto"/>
            <w:left w:val="none" w:sz="0" w:space="0" w:color="auto"/>
            <w:bottom w:val="none" w:sz="0" w:space="0" w:color="auto"/>
            <w:right w:val="none" w:sz="0" w:space="0" w:color="auto"/>
          </w:divBdr>
        </w:div>
        <w:div w:id="1995406692">
          <w:marLeft w:val="1166"/>
          <w:marRight w:val="0"/>
          <w:marTop w:val="96"/>
          <w:marBottom w:val="0"/>
          <w:divBdr>
            <w:top w:val="none" w:sz="0" w:space="0" w:color="auto"/>
            <w:left w:val="none" w:sz="0" w:space="0" w:color="auto"/>
            <w:bottom w:val="none" w:sz="0" w:space="0" w:color="auto"/>
            <w:right w:val="none" w:sz="0" w:space="0" w:color="auto"/>
          </w:divBdr>
        </w:div>
        <w:div w:id="416368783">
          <w:marLeft w:val="1166"/>
          <w:marRight w:val="0"/>
          <w:marTop w:val="96"/>
          <w:marBottom w:val="0"/>
          <w:divBdr>
            <w:top w:val="none" w:sz="0" w:space="0" w:color="auto"/>
            <w:left w:val="none" w:sz="0" w:space="0" w:color="auto"/>
            <w:bottom w:val="none" w:sz="0" w:space="0" w:color="auto"/>
            <w:right w:val="none" w:sz="0" w:space="0" w:color="auto"/>
          </w:divBdr>
        </w:div>
        <w:div w:id="1694109332">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7509957">
      <w:bodyDiv w:val="1"/>
      <w:marLeft w:val="0"/>
      <w:marRight w:val="0"/>
      <w:marTop w:val="0"/>
      <w:marBottom w:val="0"/>
      <w:divBdr>
        <w:top w:val="none" w:sz="0" w:space="0" w:color="auto"/>
        <w:left w:val="none" w:sz="0" w:space="0" w:color="auto"/>
        <w:bottom w:val="none" w:sz="0" w:space="0" w:color="auto"/>
        <w:right w:val="none" w:sz="0" w:space="0" w:color="auto"/>
      </w:divBdr>
      <w:divsChild>
        <w:div w:id="1391002856">
          <w:marLeft w:val="446"/>
          <w:marRight w:val="0"/>
          <w:marTop w:val="0"/>
          <w:marBottom w:val="120"/>
          <w:divBdr>
            <w:top w:val="none" w:sz="0" w:space="0" w:color="auto"/>
            <w:left w:val="none" w:sz="0" w:space="0" w:color="auto"/>
            <w:bottom w:val="none" w:sz="0" w:space="0" w:color="auto"/>
            <w:right w:val="none" w:sz="0" w:space="0" w:color="auto"/>
          </w:divBdr>
        </w:div>
        <w:div w:id="597101440">
          <w:marLeft w:val="1166"/>
          <w:marRight w:val="0"/>
          <w:marTop w:val="0"/>
          <w:marBottom w:val="120"/>
          <w:divBdr>
            <w:top w:val="none" w:sz="0" w:space="0" w:color="auto"/>
            <w:left w:val="none" w:sz="0" w:space="0" w:color="auto"/>
            <w:bottom w:val="none" w:sz="0" w:space="0" w:color="auto"/>
            <w:right w:val="none" w:sz="0" w:space="0" w:color="auto"/>
          </w:divBdr>
        </w:div>
        <w:div w:id="658269465">
          <w:marLeft w:val="1987"/>
          <w:marRight w:val="0"/>
          <w:marTop w:val="0"/>
          <w:marBottom w:val="120"/>
          <w:divBdr>
            <w:top w:val="none" w:sz="0" w:space="0" w:color="auto"/>
            <w:left w:val="none" w:sz="0" w:space="0" w:color="auto"/>
            <w:bottom w:val="none" w:sz="0" w:space="0" w:color="auto"/>
            <w:right w:val="none" w:sz="0" w:space="0" w:color="auto"/>
          </w:divBdr>
        </w:div>
        <w:div w:id="109129724">
          <w:marLeft w:val="1987"/>
          <w:marRight w:val="0"/>
          <w:marTop w:val="0"/>
          <w:marBottom w:val="120"/>
          <w:divBdr>
            <w:top w:val="none" w:sz="0" w:space="0" w:color="auto"/>
            <w:left w:val="none" w:sz="0" w:space="0" w:color="auto"/>
            <w:bottom w:val="none" w:sz="0" w:space="0" w:color="auto"/>
            <w:right w:val="none" w:sz="0" w:space="0" w:color="auto"/>
          </w:divBdr>
        </w:div>
        <w:div w:id="171381592">
          <w:marLeft w:val="1987"/>
          <w:marRight w:val="0"/>
          <w:marTop w:val="0"/>
          <w:marBottom w:val="120"/>
          <w:divBdr>
            <w:top w:val="none" w:sz="0" w:space="0" w:color="auto"/>
            <w:left w:val="none" w:sz="0" w:space="0" w:color="auto"/>
            <w:bottom w:val="none" w:sz="0" w:space="0" w:color="auto"/>
            <w:right w:val="none" w:sz="0" w:space="0" w:color="auto"/>
          </w:divBdr>
        </w:div>
        <w:div w:id="689141740">
          <w:marLeft w:val="1267"/>
          <w:marRight w:val="0"/>
          <w:marTop w:val="0"/>
          <w:marBottom w:val="120"/>
          <w:divBdr>
            <w:top w:val="none" w:sz="0" w:space="0" w:color="auto"/>
            <w:left w:val="none" w:sz="0" w:space="0" w:color="auto"/>
            <w:bottom w:val="none" w:sz="0" w:space="0" w:color="auto"/>
            <w:right w:val="none" w:sz="0" w:space="0" w:color="auto"/>
          </w:divBdr>
        </w:div>
        <w:div w:id="549658266">
          <w:marLeft w:val="1987"/>
          <w:marRight w:val="0"/>
          <w:marTop w:val="0"/>
          <w:marBottom w:val="120"/>
          <w:divBdr>
            <w:top w:val="none" w:sz="0" w:space="0" w:color="auto"/>
            <w:left w:val="none" w:sz="0" w:space="0" w:color="auto"/>
            <w:bottom w:val="none" w:sz="0" w:space="0" w:color="auto"/>
            <w:right w:val="none" w:sz="0" w:space="0" w:color="auto"/>
          </w:divBdr>
        </w:div>
        <w:div w:id="1576864544">
          <w:marLeft w:val="1987"/>
          <w:marRight w:val="0"/>
          <w:marTop w:val="0"/>
          <w:marBottom w:val="120"/>
          <w:divBdr>
            <w:top w:val="none" w:sz="0" w:space="0" w:color="auto"/>
            <w:left w:val="none" w:sz="0" w:space="0" w:color="auto"/>
            <w:bottom w:val="none" w:sz="0" w:space="0" w:color="auto"/>
            <w:right w:val="none" w:sz="0" w:space="0" w:color="auto"/>
          </w:divBdr>
        </w:div>
        <w:div w:id="129440412">
          <w:marLeft w:val="1987"/>
          <w:marRight w:val="0"/>
          <w:marTop w:val="0"/>
          <w:marBottom w:val="120"/>
          <w:divBdr>
            <w:top w:val="none" w:sz="0" w:space="0" w:color="auto"/>
            <w:left w:val="none" w:sz="0" w:space="0" w:color="auto"/>
            <w:bottom w:val="none" w:sz="0" w:space="0" w:color="auto"/>
            <w:right w:val="none" w:sz="0" w:space="0" w:color="auto"/>
          </w:divBdr>
        </w:div>
      </w:divsChild>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1481340">
      <w:bodyDiv w:val="1"/>
      <w:marLeft w:val="0"/>
      <w:marRight w:val="0"/>
      <w:marTop w:val="0"/>
      <w:marBottom w:val="0"/>
      <w:divBdr>
        <w:top w:val="none" w:sz="0" w:space="0" w:color="auto"/>
        <w:left w:val="none" w:sz="0" w:space="0" w:color="auto"/>
        <w:bottom w:val="none" w:sz="0" w:space="0" w:color="auto"/>
        <w:right w:val="none" w:sz="0" w:space="0" w:color="auto"/>
      </w:divBdr>
      <w:divsChild>
        <w:div w:id="1016805737">
          <w:marLeft w:val="360"/>
          <w:marRight w:val="0"/>
          <w:marTop w:val="200"/>
          <w:marBottom w:val="0"/>
          <w:divBdr>
            <w:top w:val="none" w:sz="0" w:space="0" w:color="auto"/>
            <w:left w:val="none" w:sz="0" w:space="0" w:color="auto"/>
            <w:bottom w:val="none" w:sz="0" w:space="0" w:color="auto"/>
            <w:right w:val="none" w:sz="0" w:space="0" w:color="auto"/>
          </w:divBdr>
        </w:div>
        <w:div w:id="1028145856">
          <w:marLeft w:val="1080"/>
          <w:marRight w:val="0"/>
          <w:marTop w:val="100"/>
          <w:marBottom w:val="0"/>
          <w:divBdr>
            <w:top w:val="none" w:sz="0" w:space="0" w:color="auto"/>
            <w:left w:val="none" w:sz="0" w:space="0" w:color="auto"/>
            <w:bottom w:val="none" w:sz="0" w:space="0" w:color="auto"/>
            <w:right w:val="none" w:sz="0" w:space="0" w:color="auto"/>
          </w:divBdr>
        </w:div>
        <w:div w:id="1049186026">
          <w:marLeft w:val="360"/>
          <w:marRight w:val="0"/>
          <w:marTop w:val="200"/>
          <w:marBottom w:val="0"/>
          <w:divBdr>
            <w:top w:val="none" w:sz="0" w:space="0" w:color="auto"/>
            <w:left w:val="none" w:sz="0" w:space="0" w:color="auto"/>
            <w:bottom w:val="none" w:sz="0" w:space="0" w:color="auto"/>
            <w:right w:val="none" w:sz="0" w:space="0" w:color="auto"/>
          </w:divBdr>
        </w:div>
        <w:div w:id="235633258">
          <w:marLeft w:val="1080"/>
          <w:marRight w:val="0"/>
          <w:marTop w:val="1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3584449">
      <w:bodyDiv w:val="1"/>
      <w:marLeft w:val="0"/>
      <w:marRight w:val="0"/>
      <w:marTop w:val="0"/>
      <w:marBottom w:val="0"/>
      <w:divBdr>
        <w:top w:val="none" w:sz="0" w:space="0" w:color="auto"/>
        <w:left w:val="none" w:sz="0" w:space="0" w:color="auto"/>
        <w:bottom w:val="none" w:sz="0" w:space="0" w:color="auto"/>
        <w:right w:val="none" w:sz="0" w:space="0" w:color="auto"/>
      </w:divBdr>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39108326">
      <w:bodyDiv w:val="1"/>
      <w:marLeft w:val="0"/>
      <w:marRight w:val="0"/>
      <w:marTop w:val="0"/>
      <w:marBottom w:val="0"/>
      <w:divBdr>
        <w:top w:val="none" w:sz="0" w:space="0" w:color="auto"/>
        <w:left w:val="none" w:sz="0" w:space="0" w:color="auto"/>
        <w:bottom w:val="none" w:sz="0" w:space="0" w:color="auto"/>
        <w:right w:val="none" w:sz="0" w:space="0" w:color="auto"/>
      </w:divBdr>
      <w:divsChild>
        <w:div w:id="215702656">
          <w:marLeft w:val="1080"/>
          <w:marRight w:val="0"/>
          <w:marTop w:val="100"/>
          <w:marBottom w:val="0"/>
          <w:divBdr>
            <w:top w:val="none" w:sz="0" w:space="0" w:color="auto"/>
            <w:left w:val="none" w:sz="0" w:space="0" w:color="auto"/>
            <w:bottom w:val="none" w:sz="0" w:space="0" w:color="auto"/>
            <w:right w:val="none" w:sz="0" w:space="0" w:color="auto"/>
          </w:divBdr>
        </w:div>
        <w:div w:id="1304236909">
          <w:marLeft w:val="1800"/>
          <w:marRight w:val="0"/>
          <w:marTop w:val="100"/>
          <w:marBottom w:val="0"/>
          <w:divBdr>
            <w:top w:val="none" w:sz="0" w:space="0" w:color="auto"/>
            <w:left w:val="none" w:sz="0" w:space="0" w:color="auto"/>
            <w:bottom w:val="none" w:sz="0" w:space="0" w:color="auto"/>
            <w:right w:val="none" w:sz="0" w:space="0" w:color="auto"/>
          </w:divBdr>
        </w:div>
        <w:div w:id="1355308911">
          <w:marLeft w:val="1080"/>
          <w:marRight w:val="0"/>
          <w:marTop w:val="200"/>
          <w:marBottom w:val="0"/>
          <w:divBdr>
            <w:top w:val="none" w:sz="0" w:space="0" w:color="auto"/>
            <w:left w:val="none" w:sz="0" w:space="0" w:color="auto"/>
            <w:bottom w:val="none" w:sz="0" w:space="0" w:color="auto"/>
            <w:right w:val="none" w:sz="0" w:space="0" w:color="auto"/>
          </w:divBdr>
        </w:div>
        <w:div w:id="725028087">
          <w:marLeft w:val="360"/>
          <w:marRight w:val="0"/>
          <w:marTop w:val="200"/>
          <w:marBottom w:val="0"/>
          <w:divBdr>
            <w:top w:val="none" w:sz="0" w:space="0" w:color="auto"/>
            <w:left w:val="none" w:sz="0" w:space="0" w:color="auto"/>
            <w:bottom w:val="none" w:sz="0" w:space="0" w:color="auto"/>
            <w:right w:val="none" w:sz="0" w:space="0" w:color="auto"/>
          </w:divBdr>
        </w:div>
        <w:div w:id="1638680524">
          <w:marLeft w:val="360"/>
          <w:marRight w:val="0"/>
          <w:marTop w:val="200"/>
          <w:marBottom w:val="0"/>
          <w:divBdr>
            <w:top w:val="none" w:sz="0" w:space="0" w:color="auto"/>
            <w:left w:val="none" w:sz="0" w:space="0" w:color="auto"/>
            <w:bottom w:val="none" w:sz="0" w:space="0" w:color="auto"/>
            <w:right w:val="none" w:sz="0" w:space="0" w:color="auto"/>
          </w:divBdr>
        </w:div>
        <w:div w:id="151944973">
          <w:marLeft w:val="360"/>
          <w:marRight w:val="0"/>
          <w:marTop w:val="200"/>
          <w:marBottom w:val="0"/>
          <w:divBdr>
            <w:top w:val="none" w:sz="0" w:space="0" w:color="auto"/>
            <w:left w:val="none" w:sz="0" w:space="0" w:color="auto"/>
            <w:bottom w:val="none" w:sz="0" w:space="0" w:color="auto"/>
            <w:right w:val="none" w:sz="0" w:space="0" w:color="auto"/>
          </w:divBdr>
        </w:div>
        <w:div w:id="301887030">
          <w:marLeft w:val="1080"/>
          <w:marRight w:val="0"/>
          <w:marTop w:val="100"/>
          <w:marBottom w:val="0"/>
          <w:divBdr>
            <w:top w:val="none" w:sz="0" w:space="0" w:color="auto"/>
            <w:left w:val="none" w:sz="0" w:space="0" w:color="auto"/>
            <w:bottom w:val="none" w:sz="0" w:space="0" w:color="auto"/>
            <w:right w:val="none" w:sz="0" w:space="0" w:color="auto"/>
          </w:divBdr>
        </w:div>
        <w:div w:id="227305368">
          <w:marLeft w:val="1080"/>
          <w:marRight w:val="0"/>
          <w:marTop w:val="100"/>
          <w:marBottom w:val="0"/>
          <w:divBdr>
            <w:top w:val="none" w:sz="0" w:space="0" w:color="auto"/>
            <w:left w:val="none" w:sz="0" w:space="0" w:color="auto"/>
            <w:bottom w:val="none" w:sz="0" w:space="0" w:color="auto"/>
            <w:right w:val="none" w:sz="0" w:space="0" w:color="auto"/>
          </w:divBdr>
        </w:div>
        <w:div w:id="1818450347">
          <w:marLeft w:val="360"/>
          <w:marRight w:val="0"/>
          <w:marTop w:val="200"/>
          <w:marBottom w:val="0"/>
          <w:divBdr>
            <w:top w:val="none" w:sz="0" w:space="0" w:color="auto"/>
            <w:left w:val="none" w:sz="0" w:space="0" w:color="auto"/>
            <w:bottom w:val="none" w:sz="0" w:space="0" w:color="auto"/>
            <w:right w:val="none" w:sz="0" w:space="0" w:color="auto"/>
          </w:divBdr>
        </w:div>
        <w:div w:id="2052921785">
          <w:marLeft w:val="360"/>
          <w:marRight w:val="0"/>
          <w:marTop w:val="200"/>
          <w:marBottom w:val="0"/>
          <w:divBdr>
            <w:top w:val="none" w:sz="0" w:space="0" w:color="auto"/>
            <w:left w:val="none" w:sz="0" w:space="0" w:color="auto"/>
            <w:bottom w:val="none" w:sz="0" w:space="0" w:color="auto"/>
            <w:right w:val="none" w:sz="0" w:space="0" w:color="auto"/>
          </w:divBdr>
        </w:div>
        <w:div w:id="141662658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3C69D8-F64B-485F-9940-C2FC5F3DA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1113</Words>
  <Characters>6348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7447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2021-09-30T06:18:00Z</dcterms:created>
  <dcterms:modified xsi:type="dcterms:W3CDTF">2021-10-02T09:28:00Z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